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E5" w:rsidRDefault="006C37E5">
      <w:pPr>
        <w:spacing w:line="560" w:lineRule="exact"/>
        <w:jc w:val="left"/>
        <w:rPr>
          <w:rFonts w:ascii="方正小标宋简体" w:eastAsia="方正小标宋简体"/>
          <w:sz w:val="44"/>
          <w:szCs w:val="44"/>
        </w:rPr>
      </w:pPr>
    </w:p>
    <w:p w:rsidR="006C37E5" w:rsidRDefault="00FF39E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中共北京市纪律检查委员会</w:t>
      </w:r>
    </w:p>
    <w:p w:rsidR="006C37E5" w:rsidRDefault="00FF39E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2024年度整体绩效报告</w:t>
      </w:r>
    </w:p>
    <w:p w:rsidR="006C37E5" w:rsidRDefault="006C37E5">
      <w:pPr>
        <w:spacing w:line="600" w:lineRule="exact"/>
        <w:rPr>
          <w:rFonts w:ascii="黑体" w:eastAsia="黑体" w:hAnsi="黑体" w:cs="宋体"/>
          <w:color w:val="000000"/>
          <w:kern w:val="0"/>
          <w:sz w:val="32"/>
          <w:szCs w:val="32"/>
        </w:rPr>
      </w:pPr>
    </w:p>
    <w:p w:rsidR="006C37E5" w:rsidRDefault="00FF39E4">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一、部门概况</w:t>
      </w:r>
    </w:p>
    <w:p w:rsidR="006C37E5" w:rsidRDefault="00FF39E4">
      <w:pPr>
        <w:spacing w:line="360" w:lineRule="auto"/>
        <w:ind w:firstLineChars="200" w:firstLine="640"/>
        <w:rPr>
          <w:rFonts w:ascii="楷体_GB2312" w:eastAsia="楷体_GB2312"/>
          <w:sz w:val="32"/>
          <w:szCs w:val="32"/>
        </w:rPr>
      </w:pPr>
      <w:r>
        <w:rPr>
          <w:rFonts w:ascii="楷体_GB2312" w:eastAsia="楷体_GB2312" w:hint="eastAsia"/>
          <w:sz w:val="32"/>
          <w:szCs w:val="32"/>
        </w:rPr>
        <w:t>（一）机构设置及职责工作任务情况</w:t>
      </w:r>
    </w:p>
    <w:p w:rsidR="006C37E5" w:rsidRDefault="00FF39E4" w:rsidP="0072166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北京市纪律检查委员会是党的纪律检查机关、北京市监察委员会是监察机关。中共北京市纪律检查委员会、北京市监察委员会合署办公，实行一套工作机构、两个机关名称，履行党的纪律检查、国家监察两项职责。中共北京市委巡视工作领导小组办公室设在市纪委，列入市委工作机关序列。</w:t>
      </w:r>
    </w:p>
    <w:p w:rsidR="00E073EA" w:rsidRPr="00E073EA" w:rsidRDefault="00E073EA" w:rsidP="00E073EA">
      <w:pPr>
        <w:spacing w:line="360" w:lineRule="auto"/>
        <w:ind w:firstLineChars="200" w:firstLine="640"/>
        <w:rPr>
          <w:rFonts w:ascii="仿宋_GB2312" w:eastAsia="仿宋_GB2312" w:hAnsi="仿宋_GB2312" w:cs="仿宋_GB2312"/>
          <w:sz w:val="32"/>
          <w:szCs w:val="32"/>
        </w:rPr>
      </w:pPr>
      <w:r w:rsidRPr="00E073EA">
        <w:rPr>
          <w:rFonts w:ascii="仿宋_GB2312" w:eastAsia="仿宋_GB2312" w:hAnsi="仿宋_GB2312" w:cs="仿宋_GB2312" w:hint="eastAsia"/>
          <w:sz w:val="32"/>
          <w:szCs w:val="32"/>
        </w:rPr>
        <w:t>中共北京市纪律检查委员会（含市委巡视机构）设部门及机构38个，所属北京市纪检监察技术中心等3个事业单位。</w:t>
      </w:r>
    </w:p>
    <w:p w:rsidR="006C37E5" w:rsidRDefault="00FF39E4">
      <w:pPr>
        <w:spacing w:line="360" w:lineRule="auto"/>
        <w:ind w:firstLineChars="200" w:firstLine="640"/>
        <w:rPr>
          <w:rFonts w:ascii="楷体_GB2312" w:eastAsia="楷体_GB2312"/>
          <w:sz w:val="32"/>
          <w:szCs w:val="32"/>
        </w:rPr>
      </w:pPr>
      <w:r>
        <w:rPr>
          <w:rFonts w:ascii="楷体_GB2312" w:eastAsia="楷体_GB2312" w:hint="eastAsia"/>
          <w:sz w:val="32"/>
          <w:szCs w:val="32"/>
        </w:rPr>
        <w:t>（二）部门整体绩效目标设立情况</w:t>
      </w:r>
    </w:p>
    <w:p w:rsidR="006C37E5" w:rsidRDefault="00FF39E4">
      <w:pPr>
        <w:spacing w:line="360" w:lineRule="auto"/>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2024年坚持以习近平新时代中国特色社会主义思想为指导，全面贯彻落实党的二十大和二十届二中全会精神，认真贯彻二十届中央纪委三次全会和市委十三届四次全会部署要求，深入学习贯彻习近平总书记关于党的自我革命的重要思想和对北京重要讲话精神，坚决落实全面从严治党战略方针，深刻领悟“两个确立”的决定性意义，自觉增强“四</w:t>
      </w:r>
      <w:r>
        <w:rPr>
          <w:rFonts w:ascii="仿宋_GB2312" w:eastAsia="仿宋_GB2312" w:hAnsi="仿宋_GB2312" w:cs="仿宋_GB2312" w:hint="eastAsia"/>
          <w:sz w:val="32"/>
          <w:szCs w:val="32"/>
        </w:rPr>
        <w:lastRenderedPageBreak/>
        <w:t>个意识”、坚定“四个自信”、做到“两个维护”，坚持稳中求进工作总基调，聚焦新时代首都发展，巩固拓展主题教育和教育整顿成果，忠诚履行党章和宪法赋予的职责，落实中央纪委国家监委“八个突出、八个深化”要求，推动健全具有首都特色的全面从严治党体系，纵深推进正风肃纪反腐，纵深推进新征程纪检监察工作高质量发展，为奋力谱写强国建设、民族复兴北京篇章做出新的更大贡献。</w:t>
      </w:r>
    </w:p>
    <w:p w:rsidR="006C37E5" w:rsidRDefault="00FF39E4">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紧密围绕本部门主责主业，与年度重点工作相匹配，并对监督执纪问责、审查调查处置、党风廉政建设、纪检监察制度建设、纪检监察干部队伍建设等核心业务板块分别设立了任务目标，具有较强针对性、指导性。</w:t>
      </w:r>
    </w:p>
    <w:p w:rsidR="006C37E5" w:rsidRDefault="00FF39E4">
      <w:pPr>
        <w:spacing w:line="360" w:lineRule="auto"/>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Pr>
          <w:rFonts w:ascii="黑体" w:eastAsia="黑体" w:hAnsi="黑体" w:cs="宋体"/>
          <w:color w:val="000000"/>
          <w:kern w:val="0"/>
          <w:sz w:val="32"/>
          <w:szCs w:val="32"/>
        </w:rPr>
        <w:t>、</w:t>
      </w:r>
      <w:r>
        <w:rPr>
          <w:rFonts w:ascii="黑体" w:eastAsia="黑体" w:hAnsi="黑体" w:cs="宋体" w:hint="eastAsia"/>
          <w:color w:val="000000"/>
          <w:kern w:val="0"/>
          <w:sz w:val="32"/>
          <w:szCs w:val="32"/>
        </w:rPr>
        <w:t>当年</w:t>
      </w:r>
      <w:r>
        <w:rPr>
          <w:rFonts w:ascii="黑体" w:eastAsia="黑体" w:hAnsi="黑体" w:cs="宋体"/>
          <w:color w:val="000000"/>
          <w:kern w:val="0"/>
          <w:sz w:val="32"/>
          <w:szCs w:val="32"/>
        </w:rPr>
        <w:t>预算执行情况</w:t>
      </w:r>
    </w:p>
    <w:p w:rsidR="006C37E5" w:rsidRDefault="00FF39E4">
      <w:pPr>
        <w:spacing w:line="360" w:lineRule="auto"/>
        <w:ind w:leftChars="50" w:left="105" w:firstLineChars="150" w:firstLine="48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2024年全年预算收入91529.22万元，其中，基本经费预算28429.3万元，项目经费预算63099.92万元。全年预算支出73091.77万元，其中，基本支出28293.99万元，项目支出44797.78万元。</w:t>
      </w:r>
    </w:p>
    <w:p w:rsidR="006C37E5" w:rsidRDefault="00FF39E4">
      <w:pPr>
        <w:spacing w:line="360" w:lineRule="auto"/>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、整体绩效目标实现情况</w:t>
      </w:r>
    </w:p>
    <w:p w:rsidR="006C37E5" w:rsidRDefault="00FF39E4">
      <w:pPr>
        <w:spacing w:line="360" w:lineRule="auto"/>
        <w:ind w:leftChars="50" w:left="105" w:firstLineChars="200" w:firstLine="640"/>
        <w:rPr>
          <w:rFonts w:ascii="楷体_GB2312" w:eastAsia="楷体_GB2312"/>
          <w:sz w:val="32"/>
          <w:szCs w:val="32"/>
        </w:rPr>
      </w:pPr>
      <w:r>
        <w:rPr>
          <w:rFonts w:ascii="楷体_GB2312" w:eastAsia="楷体_GB2312" w:hint="eastAsia"/>
          <w:sz w:val="32"/>
          <w:szCs w:val="32"/>
        </w:rPr>
        <w:t>（一）产出完成情况分析</w:t>
      </w:r>
    </w:p>
    <w:p w:rsidR="006C37E5" w:rsidRDefault="00FF39E4">
      <w:pPr>
        <w:spacing w:line="360" w:lineRule="auto"/>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1.产出数量。</w:t>
      </w:r>
    </w:p>
    <w:p w:rsidR="006C37E5" w:rsidRDefault="00FF39E4">
      <w:pPr>
        <w:spacing w:line="560" w:lineRule="exact"/>
        <w:ind w:firstLineChars="200" w:firstLine="640"/>
        <w:rPr>
          <w:rFonts w:ascii="仿宋_GB2312" w:eastAsia="仿宋_GB2312"/>
          <w:bCs/>
          <w:sz w:val="32"/>
        </w:rPr>
      </w:pPr>
      <w:r>
        <w:rPr>
          <w:rFonts w:ascii="仿宋_GB2312" w:eastAsia="仿宋_GB2312" w:hAnsi="宋体" w:cs="宋体" w:hint="eastAsia"/>
          <w:color w:val="000000"/>
          <w:kern w:val="0"/>
          <w:sz w:val="32"/>
          <w:szCs w:val="32"/>
        </w:rPr>
        <w:t>全市纪检监察机关坚决整治权力集中、资金密集、资源富集领域腐败。深化拓展规自、国企、金融、医药、文保、基建工程和招投标等重点领域反腐</w:t>
      </w:r>
      <w:r>
        <w:rPr>
          <w:rFonts w:ascii="仿宋_GB2312" w:eastAsia="仿宋_GB2312" w:hint="eastAsia"/>
          <w:bCs/>
          <w:sz w:val="32"/>
        </w:rPr>
        <w:t>。扎实推进追逃防逃追赃</w:t>
      </w:r>
      <w:r>
        <w:rPr>
          <w:rFonts w:ascii="仿宋_GB2312" w:eastAsia="仿宋_GB2312" w:hint="eastAsia"/>
          <w:bCs/>
          <w:sz w:val="32"/>
        </w:rPr>
        <w:lastRenderedPageBreak/>
        <w:t>和跨境腐败治理工作。持续深化“天网行动”，积极配合开展国际执法合作。坚持受贿行贿一起查，加强新时代首都廉洁文化建设，用好《清风北京》栏目，深入挖掘党史、首都文化中的勤廉元素、清廉故事，推出《廉线北京——中轴线系列》专题片、《非遗寻“廉”之旅》特别节目等。</w:t>
      </w:r>
    </w:p>
    <w:p w:rsidR="006C37E5" w:rsidRDefault="00FF39E4">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2.产出</w:t>
      </w:r>
      <w:r>
        <w:rPr>
          <w:rFonts w:ascii="仿宋_GB2312" w:eastAsia="仿宋_GB2312" w:hAnsi="宋体" w:cs="宋体"/>
          <w:color w:val="000000"/>
          <w:kern w:val="0"/>
          <w:sz w:val="32"/>
          <w:szCs w:val="32"/>
        </w:rPr>
        <w:t>质量</w:t>
      </w:r>
      <w:r>
        <w:rPr>
          <w:rFonts w:ascii="仿宋_GB2312" w:eastAsia="仿宋_GB2312" w:hAnsi="宋体" w:cs="宋体" w:hint="eastAsia"/>
          <w:color w:val="000000"/>
          <w:kern w:val="0"/>
          <w:sz w:val="32"/>
          <w:szCs w:val="32"/>
        </w:rPr>
        <w:t>。2024年全市各级纪检监察机关坚持以“两个维护”统领纪检监察一切工作，聚焦中心任务，持续强化政治监督、正风肃纪反腐，推动构建具有首都特色的全面从严治党体系，巩固拓展主题教育和教育整顿成果，以纪检监察工作高质量服务保障新时代首都发展。</w:t>
      </w:r>
    </w:p>
    <w:p w:rsidR="006C37E5" w:rsidRDefault="00FF39E4">
      <w:pPr>
        <w:spacing w:line="360" w:lineRule="auto"/>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3.产出</w:t>
      </w:r>
      <w:r>
        <w:rPr>
          <w:rFonts w:ascii="仿宋_GB2312" w:eastAsia="仿宋_GB2312" w:hAnsi="宋体" w:cs="宋体"/>
          <w:color w:val="000000"/>
          <w:kern w:val="0"/>
          <w:sz w:val="32"/>
          <w:szCs w:val="32"/>
        </w:rPr>
        <w:t>进度</w:t>
      </w:r>
      <w:r>
        <w:rPr>
          <w:rFonts w:ascii="仿宋_GB2312" w:eastAsia="仿宋_GB2312" w:hAnsi="宋体" w:cs="宋体" w:hint="eastAsia"/>
          <w:color w:val="000000"/>
          <w:kern w:val="0"/>
          <w:sz w:val="32"/>
          <w:szCs w:val="32"/>
        </w:rPr>
        <w:t>。2024年全市各级纪检监察机关以习近平新时代中国特色社会主义思想为指导，坚定正确政治方向不动摇；以具体化、精准化、常态化机制为抓手，推动政治监督更好保障党中央决策部署落实；以党纪学习教育为契机，推动党的纪律建设全面加强；以常态长效纠治“四风”为着力点，推动中央八项规定精神成为党员干部心中的铁规矩、硬杠杠；以标本兼治、系统施治为理念，有力铲除腐败及滋生的土壤和条件；以“双联双办”为驱动，超常规集中整治群众身边不正之风和腐败问题；以发现问题、解决问题为导向，把巡视利剑磨得更光更亮；以纪检监察体制改革和制度建设为支撑，推动构建具有首都特色的全面从严治党体系。</w:t>
      </w:r>
    </w:p>
    <w:p w:rsidR="006C37E5" w:rsidRDefault="00FF39E4">
      <w:pPr>
        <w:spacing w:line="360" w:lineRule="auto"/>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整体预算支出进度与工作任务推进情况基本匹配，剔除</w:t>
      </w:r>
      <w:r>
        <w:rPr>
          <w:rFonts w:ascii="仿宋_GB2312" w:eastAsia="仿宋_GB2312" w:hAnsi="宋体" w:cs="宋体" w:hint="eastAsia"/>
          <w:color w:val="000000"/>
          <w:kern w:val="0"/>
          <w:sz w:val="32"/>
          <w:szCs w:val="32"/>
        </w:rPr>
        <w:lastRenderedPageBreak/>
        <w:t>基建工程按照工程进度支付工程款原因，支付比例较上年有所增加，全年预算执行率99.08%。</w:t>
      </w:r>
    </w:p>
    <w:p w:rsidR="006C37E5" w:rsidRDefault="00FF39E4">
      <w:pPr>
        <w:spacing w:line="360" w:lineRule="auto"/>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产出</w:t>
      </w:r>
      <w:r>
        <w:rPr>
          <w:rFonts w:ascii="仿宋_GB2312" w:eastAsia="仿宋_GB2312" w:hAnsi="宋体" w:cs="宋体"/>
          <w:color w:val="000000"/>
          <w:kern w:val="0"/>
          <w:sz w:val="32"/>
          <w:szCs w:val="32"/>
        </w:rPr>
        <w:t>成本</w:t>
      </w:r>
      <w:r>
        <w:rPr>
          <w:rFonts w:ascii="仿宋_GB2312" w:eastAsia="仿宋_GB2312" w:hAnsi="宋体" w:cs="宋体" w:hint="eastAsia"/>
          <w:color w:val="000000"/>
          <w:kern w:val="0"/>
          <w:sz w:val="32"/>
          <w:szCs w:val="32"/>
        </w:rPr>
        <w:t>。市纪委机关坚决落实政府过“紧日子”要求，压缩机关行政运行经费，2024年度使用财政拨款安排的行政单位基本支出中的日常公用经费支出，合计1438.85万元，比上年1598.31万元减少159.46万元</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 xml:space="preserve">减少10%。调整压缩非紧急、非刚性支出用于新增紧急工作事项需求。                                     </w:t>
      </w:r>
    </w:p>
    <w:p w:rsidR="006C37E5" w:rsidRDefault="00FF39E4">
      <w:pPr>
        <w:spacing w:line="360" w:lineRule="auto"/>
        <w:ind w:leftChars="50" w:left="105" w:firstLineChars="200" w:firstLine="640"/>
        <w:rPr>
          <w:rFonts w:ascii="楷体_GB2312" w:eastAsia="楷体_GB2312"/>
          <w:sz w:val="32"/>
          <w:szCs w:val="32"/>
        </w:rPr>
      </w:pPr>
      <w:r>
        <w:rPr>
          <w:rFonts w:ascii="楷体_GB2312" w:eastAsia="楷体_GB2312" w:hint="eastAsia"/>
          <w:sz w:val="32"/>
          <w:szCs w:val="32"/>
        </w:rPr>
        <w:t>（二）效果</w:t>
      </w:r>
      <w:r>
        <w:rPr>
          <w:rFonts w:ascii="楷体_GB2312" w:eastAsia="楷体_GB2312"/>
          <w:sz w:val="32"/>
          <w:szCs w:val="32"/>
        </w:rPr>
        <w:t>实现情况分析</w:t>
      </w:r>
    </w:p>
    <w:p w:rsidR="006C37E5" w:rsidRDefault="00FF39E4">
      <w:pPr>
        <w:spacing w:line="360" w:lineRule="auto"/>
        <w:ind w:leftChars="50" w:left="105" w:firstLineChars="200" w:firstLine="640"/>
        <w:rPr>
          <w:rFonts w:ascii="仿宋_GB2312" w:eastAsia="仿宋_GB2312" w:hAnsi="宋体" w:cs="宋体"/>
          <w:color w:val="000000"/>
          <w:kern w:val="0"/>
          <w:sz w:val="32"/>
          <w:szCs w:val="32"/>
          <w:highlight w:val="yellow"/>
        </w:rPr>
      </w:pPr>
      <w:r>
        <w:rPr>
          <w:rFonts w:ascii="仿宋_GB2312" w:eastAsia="仿宋_GB2312" w:hAnsi="宋体" w:cs="宋体" w:hint="eastAsia"/>
          <w:color w:val="000000"/>
          <w:kern w:val="0"/>
          <w:sz w:val="32"/>
          <w:szCs w:val="32"/>
        </w:rPr>
        <w:t>1.经济</w:t>
      </w:r>
      <w:r>
        <w:rPr>
          <w:rFonts w:ascii="仿宋_GB2312" w:eastAsia="仿宋_GB2312" w:hAnsi="宋体" w:cs="宋体"/>
          <w:color w:val="000000"/>
          <w:kern w:val="0"/>
          <w:sz w:val="32"/>
          <w:szCs w:val="32"/>
        </w:rPr>
        <w:t>效益</w:t>
      </w:r>
      <w:r>
        <w:rPr>
          <w:rFonts w:ascii="仿宋_GB2312" w:eastAsia="仿宋_GB2312" w:hAnsi="宋体" w:cs="宋体" w:hint="eastAsia"/>
          <w:color w:val="000000"/>
          <w:kern w:val="0"/>
          <w:sz w:val="32"/>
          <w:szCs w:val="32"/>
        </w:rPr>
        <w:t>。2024年全市各级纪检监察机关坚决整治权力集中、资金密集、资源富集领域腐败，收缴和移送检察机关涉案财物，追缴失职渎职滥用职权造成的损失；追逃追赃和跨境腐败治理工作成果显著，积极配合开展国际执法合作，追回外逃人员，为国家挽回经济损失。</w:t>
      </w:r>
    </w:p>
    <w:p w:rsidR="006C37E5" w:rsidRDefault="00FF39E4">
      <w:pPr>
        <w:spacing w:line="360" w:lineRule="auto"/>
        <w:ind w:leftChars="50" w:left="105" w:firstLineChars="200" w:firstLine="640"/>
        <w:rPr>
          <w:rFonts w:ascii="仿宋_GB2312" w:eastAsia="仿宋_GB2312" w:hAnsi="宋体" w:cs="宋体"/>
          <w:bCs/>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bCs/>
          <w:color w:val="000000"/>
          <w:kern w:val="0"/>
          <w:sz w:val="32"/>
          <w:szCs w:val="32"/>
        </w:rPr>
        <w:t>.社会效益。深化以案促改促治。加强案件剖析，制发纪检监察建议</w:t>
      </w:r>
      <w:r>
        <w:rPr>
          <w:rFonts w:ascii="仿宋_GB2312" w:eastAsia="仿宋_GB2312" w:hAnsi="宋体" w:cs="宋体"/>
          <w:bCs/>
          <w:color w:val="000000"/>
          <w:kern w:val="0"/>
          <w:sz w:val="32"/>
          <w:szCs w:val="32"/>
        </w:rPr>
        <w:t>774</w:t>
      </w:r>
      <w:r>
        <w:rPr>
          <w:rFonts w:ascii="仿宋_GB2312" w:eastAsia="仿宋_GB2312" w:hAnsi="宋体" w:cs="宋体" w:hint="eastAsia"/>
          <w:bCs/>
          <w:color w:val="000000"/>
          <w:kern w:val="0"/>
          <w:sz w:val="32"/>
          <w:szCs w:val="32"/>
        </w:rPr>
        <w:t>份，推动出台《关于进一步规范机关事业单位大额资金等重点预算管理工作的指导意见（试行）》《关于市管企业规范大额度资金运作管理的意见</w:t>
      </w:r>
      <w:r>
        <w:rPr>
          <w:rFonts w:ascii="仿宋_GB2312" w:eastAsia="仿宋_GB2312" w:hAnsi="宋体" w:cs="宋体"/>
          <w:bCs/>
          <w:color w:val="000000"/>
          <w:kern w:val="0"/>
          <w:sz w:val="32"/>
          <w:szCs w:val="32"/>
        </w:rPr>
        <w:t>(</w:t>
      </w:r>
      <w:r>
        <w:rPr>
          <w:rFonts w:ascii="仿宋_GB2312" w:eastAsia="仿宋_GB2312" w:hAnsi="宋体" w:cs="宋体" w:hint="eastAsia"/>
          <w:bCs/>
          <w:color w:val="000000"/>
          <w:kern w:val="0"/>
          <w:sz w:val="32"/>
          <w:szCs w:val="32"/>
        </w:rPr>
        <w:t>试行</w:t>
      </w:r>
      <w:r>
        <w:rPr>
          <w:rFonts w:ascii="仿宋_GB2312" w:eastAsia="仿宋_GB2312" w:hAnsi="宋体" w:cs="宋体"/>
          <w:bCs/>
          <w:color w:val="000000"/>
          <w:kern w:val="0"/>
          <w:sz w:val="32"/>
          <w:szCs w:val="32"/>
        </w:rPr>
        <w:t>)</w:t>
      </w:r>
      <w:r>
        <w:rPr>
          <w:rFonts w:ascii="仿宋_GB2312" w:eastAsia="仿宋_GB2312" w:hAnsi="宋体" w:cs="宋体" w:hint="eastAsia"/>
          <w:bCs/>
          <w:color w:val="000000"/>
          <w:kern w:val="0"/>
          <w:sz w:val="32"/>
          <w:szCs w:val="32"/>
        </w:rPr>
        <w:t>》，开展房屋建筑与市政基础设施工程招投标领域专项治理。加强新时代首都廉洁文化建设。用好《清风北京》栏目，深入挖掘党史、首都文化中的勤廉元素、清廉故事，推出《廉线北京——中轴线系列》专题片、《非遗寻“廉”之旅》特别节目等。推动新时代廉洁文化“七进”，把廉洁教育纳入思政课</w:t>
      </w:r>
      <w:r>
        <w:rPr>
          <w:rFonts w:ascii="仿宋_GB2312" w:eastAsia="仿宋_GB2312" w:hAnsi="宋体" w:cs="宋体" w:hint="eastAsia"/>
          <w:bCs/>
          <w:color w:val="000000"/>
          <w:kern w:val="0"/>
          <w:sz w:val="32"/>
          <w:szCs w:val="32"/>
        </w:rPr>
        <w:lastRenderedPageBreak/>
        <w:t>教学，不断提升廉洁文化影响力。</w:t>
      </w:r>
    </w:p>
    <w:p w:rsidR="006C37E5" w:rsidRDefault="00FF39E4">
      <w:pPr>
        <w:spacing w:line="360" w:lineRule="auto"/>
        <w:ind w:leftChars="50" w:left="105" w:firstLineChars="200" w:firstLine="640"/>
        <w:rPr>
          <w:rFonts w:ascii="仿宋_GB2312" w:eastAsia="仿宋_GB2312"/>
          <w:bCs/>
          <w:sz w:val="32"/>
        </w:rPr>
      </w:pPr>
      <w:r>
        <w:rPr>
          <w:rFonts w:ascii="仿宋_GB2312" w:eastAsia="仿宋_GB2312" w:hAnsi="宋体" w:cs="宋体" w:hint="eastAsia"/>
          <w:bCs/>
          <w:color w:val="000000"/>
          <w:kern w:val="0"/>
          <w:sz w:val="32"/>
          <w:szCs w:val="32"/>
        </w:rPr>
        <w:t>3.政治生态。</w:t>
      </w:r>
      <w:r>
        <w:rPr>
          <w:rFonts w:ascii="仿宋_GB2312" w:eastAsia="仿宋_GB2312" w:hint="eastAsia"/>
          <w:bCs/>
          <w:sz w:val="32"/>
        </w:rPr>
        <w:t>市纪委常委会聚焦铲除腐败滋生的土壤和条件等组织全系统开展调查研究，深入一线摸实情、解难题、出实招，形成调研报告</w:t>
      </w:r>
      <w:r>
        <w:rPr>
          <w:rFonts w:ascii="仿宋_GB2312" w:eastAsia="仿宋_GB2312"/>
          <w:bCs/>
          <w:sz w:val="32"/>
        </w:rPr>
        <w:t>144</w:t>
      </w:r>
      <w:r>
        <w:rPr>
          <w:rFonts w:ascii="仿宋_GB2312" w:eastAsia="仿宋_GB2312" w:hint="eastAsia"/>
          <w:bCs/>
          <w:sz w:val="32"/>
        </w:rPr>
        <w:t>篇、典型问题清单</w:t>
      </w:r>
      <w:r>
        <w:rPr>
          <w:rFonts w:ascii="仿宋_GB2312" w:eastAsia="仿宋_GB2312"/>
          <w:bCs/>
          <w:sz w:val="32"/>
        </w:rPr>
        <w:t>103</w:t>
      </w:r>
      <w:r>
        <w:rPr>
          <w:rFonts w:ascii="仿宋_GB2312" w:eastAsia="仿宋_GB2312" w:hint="eastAsia"/>
          <w:bCs/>
          <w:sz w:val="32"/>
        </w:rPr>
        <w:t>个、重要成果转化清单</w:t>
      </w:r>
      <w:r>
        <w:rPr>
          <w:rFonts w:ascii="仿宋_GB2312" w:eastAsia="仿宋_GB2312"/>
          <w:bCs/>
          <w:sz w:val="32"/>
        </w:rPr>
        <w:t>103</w:t>
      </w:r>
      <w:r>
        <w:rPr>
          <w:rFonts w:ascii="仿宋_GB2312" w:eastAsia="仿宋_GB2312" w:hint="eastAsia"/>
          <w:bCs/>
          <w:sz w:val="32"/>
        </w:rPr>
        <w:t>个，推动解决实践难题。坚持受贿行贿一起查，进一步完善行贿人信息库，推进对重点行贿人的联合惩戒，坚决铲除“围猎”这个政治生态污染源。</w:t>
      </w:r>
    </w:p>
    <w:p w:rsidR="006C37E5" w:rsidRDefault="00FF39E4">
      <w:pPr>
        <w:spacing w:line="560" w:lineRule="exact"/>
        <w:ind w:firstLineChars="200" w:firstLine="640"/>
        <w:rPr>
          <w:rFonts w:ascii="仿宋_GB2312" w:eastAsia="仿宋_GB2312"/>
          <w:bCs/>
          <w:sz w:val="32"/>
        </w:rPr>
      </w:pPr>
      <w:r>
        <w:rPr>
          <w:rFonts w:ascii="仿宋_GB2312" w:eastAsia="仿宋_GB2312" w:hAnsi="宋体" w:cs="宋体" w:hint="eastAsia"/>
          <w:bCs/>
          <w:color w:val="000000"/>
          <w:kern w:val="0"/>
          <w:sz w:val="32"/>
          <w:szCs w:val="32"/>
        </w:rPr>
        <w:t>4.可持续影响。</w:t>
      </w:r>
      <w:r>
        <w:rPr>
          <w:rFonts w:ascii="仿宋_GB2312" w:eastAsia="仿宋_GB2312" w:hint="eastAsia"/>
          <w:bCs/>
          <w:sz w:val="32"/>
        </w:rPr>
        <w:t>全市各级纪检监察机关坚持以“两个维护”统领纪检监察一切工作，聚焦中心任务，持续强化政治监督、正风肃纪反腐，推动构建具有首都特色的全面从严治党体系，巩固拓展主题教育和教育整顿成果，以纪检监察工作高质量服务保障新时代首都发展。</w:t>
      </w:r>
    </w:p>
    <w:p w:rsidR="006C37E5" w:rsidRDefault="00FF39E4">
      <w:pPr>
        <w:spacing w:line="560" w:lineRule="exact"/>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5.服务对象满意度。</w:t>
      </w:r>
      <w:r>
        <w:rPr>
          <w:rFonts w:ascii="仿宋_GB2312" w:eastAsia="仿宋_GB2312" w:hint="eastAsia"/>
          <w:bCs/>
          <w:sz w:val="32"/>
        </w:rPr>
        <w:t>以“双联双办”为驱动，超常规集中整治群众身边不正之风和腐败问题。坚决查处一批把持基层政权、侵害群众利益的“蝇贪蚁腐”。上下联动、唯实务实整治突出问题。明确整治形式主义为基层减负、农村集体“三资”管理、“校园餐”、药品和医用耗材采购管理、安全生产等</w:t>
      </w:r>
      <w:r>
        <w:rPr>
          <w:rFonts w:ascii="仿宋_GB2312" w:eastAsia="仿宋_GB2312"/>
          <w:bCs/>
          <w:sz w:val="32"/>
        </w:rPr>
        <w:t>5</w:t>
      </w:r>
      <w:r>
        <w:rPr>
          <w:rFonts w:ascii="仿宋_GB2312" w:eastAsia="仿宋_GB2312" w:hint="eastAsia"/>
          <w:bCs/>
          <w:sz w:val="32"/>
        </w:rPr>
        <w:t>个市级重点整治项目。重拳整治文山会海、摊派加码等加重基层负担的形式主义问题，靶向整治“指尖上的形式主义”，坚决查处挤占挪用学生餐费、收受校外配餐企业贿赂等问题。严肃治理在药品耗材采购使用管理中收红包、吃回扣等行业歪风乱象，推动统一预约挂号平台覆盖全市二级及以上医院，</w:t>
      </w:r>
      <w:r>
        <w:rPr>
          <w:rFonts w:ascii="仿宋_GB2312" w:eastAsia="仿宋_GB2312"/>
          <w:bCs/>
          <w:sz w:val="32"/>
        </w:rPr>
        <w:t>181</w:t>
      </w:r>
      <w:r>
        <w:rPr>
          <w:rFonts w:ascii="仿宋_GB2312" w:eastAsia="仿宋_GB2312" w:hint="eastAsia"/>
          <w:bCs/>
          <w:sz w:val="32"/>
        </w:rPr>
        <w:t>项检验结果、</w:t>
      </w:r>
      <w:r>
        <w:rPr>
          <w:rFonts w:ascii="仿宋_GB2312" w:eastAsia="仿宋_GB2312"/>
          <w:bCs/>
          <w:sz w:val="32"/>
        </w:rPr>
        <w:t>300</w:t>
      </w:r>
      <w:r>
        <w:rPr>
          <w:rFonts w:ascii="仿宋_GB2312" w:eastAsia="仿宋_GB2312" w:hint="eastAsia"/>
          <w:bCs/>
          <w:sz w:val="32"/>
        </w:rPr>
        <w:t>项检查结果实现互认，</w:t>
      </w:r>
      <w:r>
        <w:rPr>
          <w:rFonts w:ascii="仿宋_GB2312" w:eastAsia="仿宋_GB2312" w:hint="eastAsia"/>
          <w:bCs/>
          <w:sz w:val="32"/>
        </w:rPr>
        <w:lastRenderedPageBreak/>
        <w:t>四大类常用耗材大幅降价。深入开展安全生产专项整治，协同抓好中央纪委国家监委部署的</w:t>
      </w:r>
      <w:r>
        <w:rPr>
          <w:rFonts w:ascii="仿宋_GB2312" w:eastAsia="仿宋_GB2312"/>
          <w:bCs/>
          <w:sz w:val="32"/>
        </w:rPr>
        <w:t>15</w:t>
      </w:r>
      <w:r>
        <w:rPr>
          <w:rFonts w:ascii="仿宋_GB2312" w:eastAsia="仿宋_GB2312" w:hint="eastAsia"/>
          <w:bCs/>
          <w:sz w:val="32"/>
        </w:rPr>
        <w:t>件具体实事，对</w:t>
      </w:r>
      <w:r>
        <w:rPr>
          <w:rFonts w:ascii="仿宋_GB2312" w:eastAsia="仿宋_GB2312"/>
          <w:bCs/>
          <w:sz w:val="32"/>
        </w:rPr>
        <w:t>647</w:t>
      </w:r>
      <w:r>
        <w:rPr>
          <w:rFonts w:ascii="仿宋_GB2312" w:eastAsia="仿宋_GB2312" w:hint="eastAsia"/>
          <w:bCs/>
          <w:sz w:val="32"/>
        </w:rPr>
        <w:t>项群众反映强烈的突出问题建档立卡，有力推动解决一批群众急难愁盼问题。</w:t>
      </w:r>
    </w:p>
    <w:p w:rsidR="006C37E5" w:rsidRDefault="00FF39E4">
      <w:pPr>
        <w:spacing w:line="360" w:lineRule="auto"/>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Pr>
          <w:rFonts w:ascii="黑体" w:eastAsia="黑体" w:hAnsi="黑体" w:cs="宋体"/>
          <w:color w:val="000000"/>
          <w:kern w:val="0"/>
          <w:sz w:val="32"/>
          <w:szCs w:val="32"/>
        </w:rPr>
        <w:t>、预算管理</w:t>
      </w:r>
      <w:r>
        <w:rPr>
          <w:rFonts w:ascii="黑体" w:eastAsia="黑体" w:hAnsi="黑体" w:cs="宋体" w:hint="eastAsia"/>
          <w:color w:val="000000"/>
          <w:kern w:val="0"/>
          <w:sz w:val="32"/>
          <w:szCs w:val="32"/>
        </w:rPr>
        <w:t>情况分</w:t>
      </w:r>
      <w:r>
        <w:rPr>
          <w:rFonts w:ascii="黑体" w:eastAsia="黑体" w:hAnsi="黑体" w:cs="宋体"/>
          <w:color w:val="000000"/>
          <w:kern w:val="0"/>
          <w:sz w:val="32"/>
          <w:szCs w:val="32"/>
        </w:rPr>
        <w:t>析</w:t>
      </w:r>
    </w:p>
    <w:p w:rsidR="006C37E5" w:rsidRDefault="00FF39E4">
      <w:pPr>
        <w:spacing w:line="360" w:lineRule="auto"/>
        <w:ind w:leftChars="50" w:left="105" w:firstLineChars="150" w:firstLine="480"/>
        <w:rPr>
          <w:rFonts w:ascii="楷体_GB2312" w:eastAsia="楷体_GB2312"/>
          <w:sz w:val="32"/>
          <w:szCs w:val="32"/>
        </w:rPr>
      </w:pPr>
      <w:r>
        <w:rPr>
          <w:rFonts w:ascii="楷体_GB2312" w:eastAsia="楷体_GB2312" w:hint="eastAsia"/>
          <w:sz w:val="32"/>
          <w:szCs w:val="32"/>
        </w:rPr>
        <w:t xml:space="preserve">（一）财务管理 </w:t>
      </w:r>
    </w:p>
    <w:p w:rsidR="002141DB" w:rsidRDefault="00FF39E4">
      <w:pPr>
        <w:spacing w:line="360" w:lineRule="auto"/>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1.财务</w:t>
      </w:r>
      <w:r>
        <w:rPr>
          <w:rFonts w:ascii="仿宋_GB2312" w:eastAsia="仿宋_GB2312" w:hAnsi="宋体" w:cs="宋体"/>
          <w:color w:val="000000"/>
          <w:kern w:val="0"/>
          <w:sz w:val="32"/>
          <w:szCs w:val="32"/>
        </w:rPr>
        <w:t>管理制度</w:t>
      </w:r>
      <w:r>
        <w:rPr>
          <w:rFonts w:ascii="仿宋_GB2312" w:eastAsia="仿宋_GB2312" w:hAnsi="宋体" w:cs="宋体" w:hint="eastAsia"/>
          <w:color w:val="000000"/>
          <w:kern w:val="0"/>
          <w:sz w:val="32"/>
          <w:szCs w:val="32"/>
        </w:rPr>
        <w:t>健全性。</w:t>
      </w:r>
      <w:r w:rsidR="002141DB" w:rsidRPr="002141DB">
        <w:rPr>
          <w:rFonts w:ascii="仿宋_GB2312" w:eastAsia="仿宋_GB2312" w:hAnsi="宋体" w:cs="宋体"/>
          <w:color w:val="000000"/>
          <w:kern w:val="0"/>
          <w:sz w:val="32"/>
          <w:szCs w:val="32"/>
        </w:rPr>
        <w:t>机关新增制定了《机关账户管理规定》，发布《关于进一步落实</w:t>
      </w:r>
      <w:r w:rsidR="002141DB" w:rsidRPr="002141DB">
        <w:rPr>
          <w:rFonts w:ascii="仿宋_GB2312" w:eastAsia="仿宋_GB2312" w:hAnsi="宋体" w:cs="宋体"/>
          <w:color w:val="000000"/>
          <w:kern w:val="0"/>
          <w:sz w:val="32"/>
          <w:szCs w:val="32"/>
        </w:rPr>
        <w:t>“</w:t>
      </w:r>
      <w:r w:rsidR="002141DB" w:rsidRPr="002141DB">
        <w:rPr>
          <w:rFonts w:ascii="仿宋_GB2312" w:eastAsia="仿宋_GB2312" w:hAnsi="宋体" w:cs="宋体"/>
          <w:color w:val="000000"/>
          <w:kern w:val="0"/>
          <w:sz w:val="32"/>
          <w:szCs w:val="32"/>
        </w:rPr>
        <w:t>精文减会</w:t>
      </w:r>
      <w:r w:rsidR="002141DB" w:rsidRPr="002141DB">
        <w:rPr>
          <w:rFonts w:ascii="仿宋_GB2312" w:eastAsia="仿宋_GB2312" w:hAnsi="宋体" w:cs="宋体"/>
          <w:color w:val="000000"/>
          <w:kern w:val="0"/>
          <w:sz w:val="32"/>
          <w:szCs w:val="32"/>
        </w:rPr>
        <w:t>”“</w:t>
      </w:r>
      <w:r w:rsidR="002141DB" w:rsidRPr="002141DB">
        <w:rPr>
          <w:rFonts w:ascii="仿宋_GB2312" w:eastAsia="仿宋_GB2312" w:hAnsi="宋体" w:cs="宋体"/>
          <w:color w:val="000000"/>
          <w:kern w:val="0"/>
          <w:sz w:val="32"/>
          <w:szCs w:val="32"/>
        </w:rPr>
        <w:t>过紧日子</w:t>
      </w:r>
      <w:r w:rsidR="002141DB" w:rsidRPr="002141DB">
        <w:rPr>
          <w:rFonts w:ascii="仿宋_GB2312" w:eastAsia="仿宋_GB2312" w:hAnsi="宋体" w:cs="宋体"/>
          <w:color w:val="000000"/>
          <w:kern w:val="0"/>
          <w:sz w:val="32"/>
          <w:szCs w:val="32"/>
        </w:rPr>
        <w:t>”</w:t>
      </w:r>
      <w:r w:rsidR="002141DB" w:rsidRPr="002141DB">
        <w:rPr>
          <w:rFonts w:ascii="仿宋_GB2312" w:eastAsia="仿宋_GB2312" w:hAnsi="宋体" w:cs="宋体"/>
          <w:color w:val="000000"/>
          <w:kern w:val="0"/>
          <w:sz w:val="32"/>
          <w:szCs w:val="32"/>
        </w:rPr>
        <w:t xml:space="preserve"> 要求的通知》，进一步明确了严格会议费、培训费、差旅费报销的要求，确定了培训课时1小时为1学时的报销标准等。</w:t>
      </w:r>
    </w:p>
    <w:p w:rsidR="006C37E5" w:rsidRDefault="00FF39E4">
      <w:pPr>
        <w:spacing w:line="360" w:lineRule="auto"/>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资金使用整体合规性和安全性。严格遵守各项规章制度、财经法规，落实北京市财政局《关于进一步规范机关事业单位大额资金等重点预算管理工作的指导意见》有关要求，进一步规范大额资金等重点预算管理事项；各项经济合同经法规室合法性审核和办公厅资金支付、保密程序审核，并建立完善合同台账；经费支出按照《经费支出管理办法》要求，根据权限逐级审批后方可报销；岗位分离有效执行并形成监督制约。</w:t>
      </w:r>
    </w:p>
    <w:p w:rsidR="006C37E5" w:rsidRDefault="00FF39E4">
      <w:pPr>
        <w:spacing w:line="360" w:lineRule="auto"/>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会计</w:t>
      </w:r>
      <w:r>
        <w:rPr>
          <w:rFonts w:ascii="仿宋_GB2312" w:eastAsia="仿宋_GB2312" w:hAnsi="宋体" w:cs="宋体"/>
          <w:color w:val="000000"/>
          <w:kern w:val="0"/>
          <w:sz w:val="32"/>
          <w:szCs w:val="32"/>
        </w:rPr>
        <w:t>基础信息完善</w:t>
      </w:r>
      <w:r>
        <w:rPr>
          <w:rFonts w:ascii="仿宋_GB2312" w:eastAsia="仿宋_GB2312" w:hAnsi="宋体" w:cs="宋体" w:hint="eastAsia"/>
          <w:color w:val="000000"/>
          <w:kern w:val="0"/>
          <w:sz w:val="32"/>
          <w:szCs w:val="32"/>
        </w:rPr>
        <w:t>性。根据《中华人民共和国会计法》和《政府会计准则制度》的规定建立会计账册，进行会计核算，及时提供合法、真实、准确、完整的会计信息。</w:t>
      </w:r>
    </w:p>
    <w:p w:rsidR="006C37E5" w:rsidRDefault="00FF39E4">
      <w:pPr>
        <w:spacing w:line="360" w:lineRule="auto"/>
        <w:ind w:leftChars="50" w:left="105" w:firstLineChars="150" w:firstLine="480"/>
        <w:rPr>
          <w:rFonts w:ascii="楷体_GB2312" w:eastAsia="楷体_GB2312"/>
          <w:sz w:val="32"/>
          <w:szCs w:val="32"/>
        </w:rPr>
      </w:pPr>
      <w:r>
        <w:rPr>
          <w:rFonts w:ascii="楷体_GB2312" w:eastAsia="楷体_GB2312" w:hint="eastAsia"/>
          <w:sz w:val="32"/>
          <w:szCs w:val="32"/>
        </w:rPr>
        <w:t xml:space="preserve">（二）资产管理 </w:t>
      </w:r>
    </w:p>
    <w:p w:rsidR="006C37E5" w:rsidRDefault="00FF39E4">
      <w:pPr>
        <w:spacing w:line="360" w:lineRule="auto"/>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设置专人专岗负责资产管理工作，资产采购、实物管理、资产账相分离，形成监督制约。资产采购分政府采购和非政府采购两种方式。每年开展资产盘点。进一步优化固定资产管理，推进解决国有资产积压闲置。</w:t>
      </w:r>
    </w:p>
    <w:p w:rsidR="006C37E5" w:rsidRDefault="00FF39E4">
      <w:pPr>
        <w:spacing w:line="360" w:lineRule="auto"/>
        <w:ind w:leftChars="50" w:left="105" w:firstLineChars="200" w:firstLine="640"/>
        <w:rPr>
          <w:rFonts w:ascii="楷体_GB2312" w:eastAsia="楷体_GB2312"/>
          <w:sz w:val="32"/>
          <w:szCs w:val="32"/>
        </w:rPr>
      </w:pPr>
      <w:r>
        <w:rPr>
          <w:rFonts w:ascii="楷体_GB2312" w:eastAsia="楷体_GB2312" w:hint="eastAsia"/>
          <w:sz w:val="32"/>
          <w:szCs w:val="32"/>
        </w:rPr>
        <w:t>（三）绩效</w:t>
      </w:r>
      <w:r>
        <w:rPr>
          <w:rFonts w:ascii="楷体_GB2312" w:eastAsia="楷体_GB2312"/>
          <w:sz w:val="32"/>
          <w:szCs w:val="32"/>
        </w:rPr>
        <w:t>管理</w:t>
      </w:r>
    </w:p>
    <w:p w:rsidR="006C37E5" w:rsidRDefault="00FF39E4">
      <w:pPr>
        <w:spacing w:line="360" w:lineRule="auto"/>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2024年按照市财政局绩效工作安排，对全委上一年全部项目经费的预算执行和绩效目标进行绩效评价自评工作，并对重点非涉密项目成立专家小组进行评价，对机关本级行政纪检监察电视栏目制作项目绩效成本分析。在绩效工作中发现绩效目标设置科学性有待进一步提高，部分项目的日常监督还需进一步加强，同时完善后续项目跟踪和资金使用效果的管理措施和控制手段，确保项目资金真正发挥效益。</w:t>
      </w:r>
    </w:p>
    <w:p w:rsidR="006C37E5" w:rsidRDefault="00FF39E4">
      <w:pPr>
        <w:spacing w:line="360" w:lineRule="auto"/>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将组织相关人员认真学习深刻领会绩效管理和相关文件精神，培养各业务负责人树立绩效意识、目标意识、责任意识，并建立相关预算绩效管理制度，完善绩效目标管理内容，切实提高绩效目标管理水平和相关知识的运用能力。加强业务部门与财务部门沟通的及时性，保障信息准确，为今后做好绩效目标编制与绩效自评工作创造更好的条件。</w:t>
      </w:r>
    </w:p>
    <w:p w:rsidR="006C37E5" w:rsidRDefault="00FF39E4">
      <w:pPr>
        <w:spacing w:line="360" w:lineRule="auto"/>
        <w:ind w:leftChars="50" w:left="105" w:firstLineChars="200" w:firstLine="640"/>
        <w:rPr>
          <w:rFonts w:ascii="楷体_GB2312" w:eastAsia="楷体_GB2312"/>
          <w:sz w:val="32"/>
          <w:szCs w:val="32"/>
        </w:rPr>
      </w:pPr>
      <w:r>
        <w:rPr>
          <w:rFonts w:ascii="楷体_GB2312" w:eastAsia="楷体_GB2312" w:hint="eastAsia"/>
          <w:sz w:val="32"/>
          <w:szCs w:val="32"/>
        </w:rPr>
        <w:t xml:space="preserve">（四）结转结余率  </w:t>
      </w:r>
    </w:p>
    <w:p w:rsidR="006C37E5" w:rsidRDefault="00FF39E4">
      <w:pPr>
        <w:spacing w:line="360" w:lineRule="auto"/>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sidR="00EB28E9">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结转结余率比上年略有降低。</w:t>
      </w:r>
    </w:p>
    <w:p w:rsidR="006C37E5" w:rsidRDefault="00FF39E4">
      <w:pPr>
        <w:spacing w:line="360" w:lineRule="auto"/>
        <w:ind w:leftChars="50" w:left="105" w:firstLineChars="200" w:firstLine="640"/>
        <w:rPr>
          <w:rFonts w:ascii="楷体_GB2312" w:eastAsia="楷体_GB2312"/>
          <w:sz w:val="32"/>
          <w:szCs w:val="32"/>
        </w:rPr>
      </w:pPr>
      <w:r>
        <w:rPr>
          <w:rFonts w:ascii="楷体_GB2312" w:eastAsia="楷体_GB2312" w:hint="eastAsia"/>
          <w:sz w:val="32"/>
          <w:szCs w:val="32"/>
        </w:rPr>
        <w:t>（五）部门</w:t>
      </w:r>
      <w:r>
        <w:rPr>
          <w:rFonts w:ascii="楷体_GB2312" w:eastAsia="楷体_GB2312"/>
          <w:sz w:val="32"/>
          <w:szCs w:val="32"/>
        </w:rPr>
        <w:t>预决算差异率</w:t>
      </w:r>
    </w:p>
    <w:p w:rsidR="006C37E5" w:rsidRDefault="00FF39E4">
      <w:pPr>
        <w:spacing w:line="360" w:lineRule="auto"/>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2024年度，部门年初预算数为61656.87万元（不含基建工程款），年末部门决算数为73091.76万元（含基建工程进度款支出），部门预决算差异率比上年度略有增加。</w:t>
      </w:r>
    </w:p>
    <w:p w:rsidR="006C37E5" w:rsidRDefault="00FF39E4">
      <w:pPr>
        <w:spacing w:line="360" w:lineRule="auto"/>
        <w:ind w:leftChars="50" w:left="105" w:firstLineChars="200" w:firstLine="640"/>
        <w:rPr>
          <w:rFonts w:ascii="黑体" w:eastAsia="黑体" w:hAnsi="黑体"/>
          <w:sz w:val="32"/>
          <w:szCs w:val="32"/>
        </w:rPr>
      </w:pPr>
      <w:r>
        <w:rPr>
          <w:rFonts w:ascii="黑体" w:eastAsia="黑体" w:hAnsi="黑体" w:hint="eastAsia"/>
          <w:sz w:val="32"/>
          <w:szCs w:val="32"/>
        </w:rPr>
        <w:t>五、总体</w:t>
      </w:r>
      <w:r>
        <w:rPr>
          <w:rFonts w:ascii="黑体" w:eastAsia="黑体" w:hAnsi="黑体"/>
          <w:sz w:val="32"/>
          <w:szCs w:val="32"/>
        </w:rPr>
        <w:t>评价结论</w:t>
      </w:r>
    </w:p>
    <w:p w:rsidR="006C37E5" w:rsidRDefault="00FF39E4">
      <w:pPr>
        <w:spacing w:line="360" w:lineRule="auto"/>
        <w:ind w:leftChars="50" w:left="105" w:firstLineChars="200" w:firstLine="640"/>
        <w:rPr>
          <w:rFonts w:ascii="楷体_GB2312" w:eastAsia="楷体_GB2312"/>
          <w:sz w:val="32"/>
          <w:szCs w:val="32"/>
        </w:rPr>
      </w:pPr>
      <w:r>
        <w:rPr>
          <w:rFonts w:ascii="楷体_GB2312" w:eastAsia="楷体_GB2312" w:hint="eastAsia"/>
          <w:sz w:val="32"/>
          <w:szCs w:val="32"/>
        </w:rPr>
        <w:t>（一）评价</w:t>
      </w:r>
      <w:r>
        <w:rPr>
          <w:rFonts w:ascii="楷体_GB2312" w:eastAsia="楷体_GB2312"/>
          <w:sz w:val="32"/>
          <w:szCs w:val="32"/>
        </w:rPr>
        <w:t>得分</w:t>
      </w:r>
      <w:r>
        <w:rPr>
          <w:rFonts w:ascii="楷体_GB2312" w:eastAsia="楷体_GB2312" w:hint="eastAsia"/>
          <w:sz w:val="32"/>
          <w:szCs w:val="32"/>
        </w:rPr>
        <w:t>情况</w:t>
      </w:r>
    </w:p>
    <w:p w:rsidR="006C37E5" w:rsidRDefault="00FF39E4">
      <w:pPr>
        <w:spacing w:line="360" w:lineRule="auto"/>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2024年市纪委部门整体绩效评价得分为95.972分，评定等次为“优”。其中：预算执行情况15.972分，绩效产出情况30分，绩效效果情况30分，预算管理情况20分。</w:t>
      </w:r>
    </w:p>
    <w:p w:rsidR="006C37E5" w:rsidRDefault="00FF39E4">
      <w:pPr>
        <w:spacing w:line="360" w:lineRule="auto"/>
        <w:ind w:leftChars="50" w:left="105" w:firstLineChars="200" w:firstLine="640"/>
        <w:rPr>
          <w:rFonts w:ascii="楷体_GB2312" w:eastAsia="楷体_GB2312"/>
          <w:sz w:val="32"/>
          <w:szCs w:val="32"/>
        </w:rPr>
      </w:pPr>
      <w:r>
        <w:rPr>
          <w:rFonts w:ascii="楷体_GB2312" w:eastAsia="楷体_GB2312" w:hint="eastAsia"/>
          <w:sz w:val="32"/>
          <w:szCs w:val="32"/>
        </w:rPr>
        <w:t>（二）存在的问题及原因分析</w:t>
      </w:r>
    </w:p>
    <w:p w:rsidR="006C37E5" w:rsidRDefault="00FF39E4">
      <w:pPr>
        <w:spacing w:line="600" w:lineRule="exact"/>
        <w:ind w:leftChars="50" w:left="105"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存在的问题主要</w:t>
      </w:r>
      <w:r w:rsidR="00BE65AF">
        <w:rPr>
          <w:rFonts w:ascii="仿宋_GB2312" w:eastAsia="仿宋_GB2312" w:hAnsi="仿宋_GB2312" w:cs="仿宋_GB2312" w:hint="eastAsia"/>
          <w:sz w:val="32"/>
          <w:szCs w:val="32"/>
        </w:rPr>
        <w:t>年度预算编制精准化还需进一步加强</w:t>
      </w:r>
      <w:r>
        <w:rPr>
          <w:rFonts w:ascii="仿宋_GB2312" w:eastAsia="仿宋_GB2312" w:hAnsi="仿宋_GB2312" w:cs="仿宋_GB2312" w:hint="eastAsia"/>
          <w:sz w:val="32"/>
          <w:szCs w:val="32"/>
        </w:rPr>
        <w:t>。</w:t>
      </w:r>
    </w:p>
    <w:p w:rsidR="006C37E5" w:rsidRDefault="00FF39E4">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六、措施建议（整改措施、下一步工作举措）</w:t>
      </w:r>
    </w:p>
    <w:p w:rsidR="006C37E5" w:rsidRPr="00BE65AF" w:rsidRDefault="00BE65AF" w:rsidP="00BE65AF">
      <w:pPr>
        <w:spacing w:line="360" w:lineRule="auto"/>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深化零基预算改革，项目预算编制紧密结合年度工作任务，统筹目标相关性、支出合规性、进度合理性，科学精细编制年度预算。</w:t>
      </w:r>
    </w:p>
    <w:p w:rsidR="006C37E5" w:rsidRDefault="006C37E5">
      <w:pPr>
        <w:widowControl/>
        <w:spacing w:line="360" w:lineRule="auto"/>
        <w:jc w:val="center"/>
        <w:rPr>
          <w:rFonts w:ascii="方正小标宋简体" w:eastAsia="方正小标宋简体" w:hAnsi="黑体" w:cs="宋体"/>
          <w:color w:val="000000"/>
          <w:kern w:val="0"/>
          <w:sz w:val="44"/>
          <w:szCs w:val="44"/>
        </w:rPr>
        <w:sectPr w:rsidR="006C37E5">
          <w:footerReference w:type="default" r:id="rId8"/>
          <w:pgSz w:w="11906" w:h="16838"/>
          <w:pgMar w:top="1440" w:right="1797" w:bottom="1440" w:left="1797" w:header="851" w:footer="992" w:gutter="0"/>
          <w:pgNumType w:fmt="numberInDash"/>
          <w:cols w:space="720"/>
          <w:docGrid w:type="lines" w:linePitch="312"/>
        </w:sectPr>
      </w:pPr>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866"/>
        <w:gridCol w:w="1302"/>
        <w:gridCol w:w="1313"/>
        <w:gridCol w:w="1432"/>
        <w:gridCol w:w="550"/>
        <w:gridCol w:w="139"/>
        <w:gridCol w:w="775"/>
        <w:gridCol w:w="1000"/>
      </w:tblGrid>
      <w:tr w:rsidR="006C37E5">
        <w:trPr>
          <w:trHeight w:val="2663"/>
        </w:trPr>
        <w:tc>
          <w:tcPr>
            <w:tcW w:w="5000" w:type="pct"/>
            <w:gridSpan w:val="9"/>
            <w:tcBorders>
              <w:top w:val="nil"/>
              <w:left w:val="nil"/>
              <w:right w:val="nil"/>
            </w:tcBorders>
            <w:noWrap/>
            <w:vAlign w:val="bottom"/>
          </w:tcPr>
          <w:p w:rsidR="006C37E5" w:rsidRDefault="006C37E5">
            <w:pPr>
              <w:widowControl/>
              <w:jc w:val="center"/>
              <w:rPr>
                <w:rFonts w:ascii="方正小标宋简体" w:eastAsia="方正小标宋简体" w:hAnsi="黑体" w:cs="宋体"/>
                <w:color w:val="000000"/>
                <w:kern w:val="0"/>
                <w:sz w:val="44"/>
                <w:szCs w:val="44"/>
              </w:rPr>
            </w:pPr>
          </w:p>
          <w:p w:rsidR="006C37E5" w:rsidRDefault="00FF39E4">
            <w:pPr>
              <w:widowControl/>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2024年部门整体绩效评价指标体系评分表</w:t>
            </w:r>
          </w:p>
          <w:p w:rsidR="006C37E5" w:rsidRDefault="006C37E5">
            <w:pPr>
              <w:widowControl/>
              <w:rPr>
                <w:rFonts w:ascii="方正小标宋简体" w:eastAsia="方正小标宋简体" w:hAnsi="黑体" w:cs="宋体"/>
                <w:color w:val="000000"/>
                <w:kern w:val="0"/>
                <w:sz w:val="44"/>
                <w:szCs w:val="44"/>
              </w:rPr>
            </w:pPr>
          </w:p>
        </w:tc>
      </w:tr>
      <w:tr w:rsidR="006C37E5">
        <w:trPr>
          <w:trHeight w:val="370"/>
        </w:trPr>
        <w:tc>
          <w:tcPr>
            <w:tcW w:w="5000" w:type="pct"/>
            <w:gridSpan w:val="9"/>
            <w:vAlign w:val="center"/>
          </w:tcPr>
          <w:p w:rsidR="006C37E5" w:rsidRDefault="00FF39E4">
            <w:pPr>
              <w:widowControl/>
              <w:jc w:val="left"/>
              <w:rPr>
                <w:rFonts w:ascii="宋体" w:hAnsi="宋体" w:cs="宋体"/>
                <w:color w:val="000000"/>
                <w:kern w:val="0"/>
                <w:sz w:val="18"/>
                <w:szCs w:val="18"/>
              </w:rPr>
            </w:pPr>
            <w:r>
              <w:rPr>
                <w:rFonts w:ascii="宋体" w:hAnsi="宋体" w:cs="宋体" w:hint="eastAsia"/>
                <w:color w:val="000000"/>
                <w:kern w:val="0"/>
                <w:sz w:val="18"/>
                <w:szCs w:val="18"/>
              </w:rPr>
              <w:t>一、</w:t>
            </w:r>
            <w:r>
              <w:rPr>
                <w:rFonts w:ascii="宋体" w:hAnsi="宋体" w:cs="宋体" w:hint="eastAsia"/>
                <w:color w:val="000000"/>
                <w:kern w:val="0"/>
                <w:sz w:val="20"/>
                <w:szCs w:val="20"/>
              </w:rPr>
              <w:t>当年预算执行情况（20分）</w:t>
            </w:r>
          </w:p>
        </w:tc>
      </w:tr>
      <w:tr w:rsidR="006C37E5">
        <w:trPr>
          <w:trHeight w:val="660"/>
        </w:trPr>
        <w:tc>
          <w:tcPr>
            <w:tcW w:w="52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w:t>
            </w:r>
          </w:p>
          <w:p w:rsidR="006C37E5" w:rsidRDefault="00FF39E4">
            <w:pPr>
              <w:widowControl/>
              <w:jc w:val="center"/>
              <w:rPr>
                <w:rFonts w:ascii="宋体" w:hAnsi="宋体" w:cs="宋体"/>
                <w:color w:val="000000"/>
                <w:kern w:val="0"/>
                <w:sz w:val="20"/>
                <w:szCs w:val="20"/>
              </w:rPr>
            </w:pPr>
            <w:r>
              <w:rPr>
                <w:rFonts w:ascii="宋体" w:hAnsi="宋体" w:cs="宋体"/>
                <w:color w:val="000000"/>
                <w:kern w:val="0"/>
                <w:sz w:val="20"/>
                <w:szCs w:val="20"/>
              </w:rPr>
              <w:t>指标</w:t>
            </w:r>
            <w:r>
              <w:rPr>
                <w:rFonts w:ascii="宋体" w:hAnsi="宋体" w:cs="宋体" w:hint="eastAsia"/>
                <w:color w:val="000000"/>
                <w:kern w:val="0"/>
                <w:sz w:val="20"/>
                <w:szCs w:val="20"/>
              </w:rPr>
              <w:t xml:space="preserve">　</w:t>
            </w: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w:t>
            </w:r>
          </w:p>
          <w:p w:rsidR="006C37E5" w:rsidRDefault="00FF39E4">
            <w:pPr>
              <w:widowControl/>
              <w:jc w:val="center"/>
              <w:rPr>
                <w:rFonts w:ascii="宋体" w:hAnsi="宋体" w:cs="宋体"/>
                <w:color w:val="000000"/>
                <w:kern w:val="0"/>
                <w:sz w:val="20"/>
                <w:szCs w:val="20"/>
              </w:rPr>
            </w:pPr>
            <w:r>
              <w:rPr>
                <w:rFonts w:ascii="宋体" w:hAnsi="宋体" w:cs="宋体"/>
                <w:color w:val="000000"/>
                <w:kern w:val="0"/>
                <w:sz w:val="20"/>
                <w:szCs w:val="20"/>
              </w:rPr>
              <w:t>指标</w:t>
            </w:r>
            <w:r>
              <w:rPr>
                <w:rFonts w:ascii="宋体" w:hAnsi="宋体" w:cs="宋体" w:hint="eastAsia"/>
                <w:color w:val="000000"/>
                <w:kern w:val="0"/>
                <w:sz w:val="20"/>
                <w:szCs w:val="20"/>
              </w:rPr>
              <w:t xml:space="preserve">　</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预算数</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（万元）</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执行数</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（万元）</w:t>
            </w:r>
          </w:p>
        </w:tc>
        <w:tc>
          <w:tcPr>
            <w:tcW w:w="1286" w:type="pct"/>
            <w:gridSpan w:val="3"/>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1076"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r>
      <w:tr w:rsidR="006C37E5">
        <w:trPr>
          <w:trHeight w:val="1029"/>
        </w:trPr>
        <w:tc>
          <w:tcPr>
            <w:tcW w:w="528" w:type="pct"/>
            <w:vMerge w:val="restar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当年预算执行情况（20）</w:t>
            </w: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总体</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91529.22　</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73091.77　</w:t>
            </w:r>
          </w:p>
        </w:tc>
        <w:tc>
          <w:tcPr>
            <w:tcW w:w="1286" w:type="pct"/>
            <w:gridSpan w:val="3"/>
            <w:vMerge w:val="restart"/>
            <w:vAlign w:val="center"/>
          </w:tcPr>
          <w:p w:rsidR="006C37E5" w:rsidRDefault="00FF39E4">
            <w:pPr>
              <w:widowControl/>
              <w:jc w:val="center"/>
              <w:rPr>
                <w:rFonts w:ascii="宋体" w:hAnsi="宋体" w:cs="宋体"/>
                <w:color w:val="000000"/>
                <w:kern w:val="0"/>
                <w:sz w:val="20"/>
                <w:szCs w:val="20"/>
              </w:rPr>
            </w:pPr>
            <w:bookmarkStart w:id="0" w:name="_GoBack"/>
            <w:bookmarkEnd w:id="0"/>
            <w:r>
              <w:rPr>
                <w:rFonts w:ascii="宋体" w:hAnsi="宋体" w:cs="宋体" w:hint="eastAsia"/>
                <w:color w:val="000000"/>
                <w:kern w:val="0"/>
                <w:sz w:val="20"/>
                <w:szCs w:val="20"/>
              </w:rPr>
              <w:t>20</w:t>
            </w:r>
          </w:p>
        </w:tc>
        <w:tc>
          <w:tcPr>
            <w:tcW w:w="1076" w:type="pct"/>
            <w:gridSpan w:val="2"/>
            <w:vMerge w:val="restart"/>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15.972</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C37E5">
        <w:trPr>
          <w:trHeight w:val="1081"/>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基本</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支出</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28429.3　</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28293.99　</w:t>
            </w:r>
          </w:p>
        </w:tc>
        <w:tc>
          <w:tcPr>
            <w:tcW w:w="1286" w:type="pct"/>
            <w:gridSpan w:val="3"/>
            <w:vMerge/>
          </w:tcPr>
          <w:p w:rsidR="006C37E5" w:rsidRDefault="006C37E5">
            <w:pPr>
              <w:widowControl/>
              <w:jc w:val="left"/>
              <w:rPr>
                <w:rFonts w:ascii="宋体" w:hAnsi="宋体" w:cs="宋体"/>
                <w:color w:val="000000"/>
                <w:kern w:val="0"/>
                <w:sz w:val="20"/>
                <w:szCs w:val="20"/>
              </w:rPr>
            </w:pPr>
          </w:p>
        </w:tc>
        <w:tc>
          <w:tcPr>
            <w:tcW w:w="1076" w:type="pct"/>
            <w:gridSpan w:val="2"/>
            <w:vMerge/>
            <w:vAlign w:val="center"/>
          </w:tcPr>
          <w:p w:rsidR="006C37E5" w:rsidRDefault="006C37E5">
            <w:pPr>
              <w:widowControl/>
              <w:jc w:val="left"/>
              <w:rPr>
                <w:rFonts w:ascii="宋体" w:hAnsi="宋体" w:cs="宋体"/>
                <w:color w:val="000000"/>
                <w:kern w:val="0"/>
                <w:sz w:val="20"/>
                <w:szCs w:val="20"/>
              </w:rPr>
            </w:pPr>
          </w:p>
        </w:tc>
      </w:tr>
      <w:tr w:rsidR="006C37E5">
        <w:trPr>
          <w:trHeight w:val="1019"/>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支出</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63099.92</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44797.78　</w:t>
            </w:r>
          </w:p>
        </w:tc>
        <w:tc>
          <w:tcPr>
            <w:tcW w:w="1286" w:type="pct"/>
            <w:gridSpan w:val="3"/>
            <w:vMerge/>
            <w:vAlign w:val="center"/>
          </w:tcPr>
          <w:p w:rsidR="006C37E5" w:rsidRDefault="006C37E5">
            <w:pPr>
              <w:widowControl/>
              <w:jc w:val="left"/>
              <w:rPr>
                <w:rFonts w:ascii="宋体" w:hAnsi="宋体" w:cs="宋体"/>
                <w:color w:val="000000"/>
                <w:kern w:val="0"/>
                <w:sz w:val="20"/>
                <w:szCs w:val="20"/>
              </w:rPr>
            </w:pPr>
          </w:p>
        </w:tc>
        <w:tc>
          <w:tcPr>
            <w:tcW w:w="1076" w:type="pct"/>
            <w:gridSpan w:val="2"/>
            <w:vMerge/>
            <w:vAlign w:val="center"/>
          </w:tcPr>
          <w:p w:rsidR="006C37E5" w:rsidRDefault="006C37E5">
            <w:pPr>
              <w:widowControl/>
              <w:jc w:val="left"/>
              <w:rPr>
                <w:rFonts w:ascii="宋体" w:hAnsi="宋体" w:cs="宋体"/>
                <w:color w:val="000000"/>
                <w:kern w:val="0"/>
                <w:sz w:val="20"/>
                <w:szCs w:val="20"/>
              </w:rPr>
            </w:pPr>
          </w:p>
        </w:tc>
      </w:tr>
      <w:tr w:rsidR="006C37E5">
        <w:trPr>
          <w:trHeight w:val="647"/>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0　</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0　</w:t>
            </w:r>
          </w:p>
        </w:tc>
        <w:tc>
          <w:tcPr>
            <w:tcW w:w="1286" w:type="pct"/>
            <w:gridSpan w:val="3"/>
            <w:vMerge/>
            <w:vAlign w:val="center"/>
          </w:tcPr>
          <w:p w:rsidR="006C37E5" w:rsidRDefault="006C37E5">
            <w:pPr>
              <w:widowControl/>
              <w:jc w:val="left"/>
              <w:rPr>
                <w:rFonts w:ascii="宋体" w:hAnsi="宋体" w:cs="宋体"/>
                <w:color w:val="000000"/>
                <w:kern w:val="0"/>
                <w:sz w:val="20"/>
                <w:szCs w:val="20"/>
              </w:rPr>
            </w:pPr>
          </w:p>
        </w:tc>
        <w:tc>
          <w:tcPr>
            <w:tcW w:w="1076" w:type="pct"/>
            <w:gridSpan w:val="2"/>
            <w:vMerge/>
            <w:vAlign w:val="center"/>
          </w:tcPr>
          <w:p w:rsidR="006C37E5" w:rsidRDefault="006C37E5">
            <w:pPr>
              <w:widowControl/>
              <w:jc w:val="left"/>
              <w:rPr>
                <w:rFonts w:ascii="宋体" w:hAnsi="宋体" w:cs="宋体"/>
                <w:color w:val="000000"/>
                <w:kern w:val="0"/>
                <w:sz w:val="20"/>
                <w:szCs w:val="20"/>
              </w:rPr>
            </w:pPr>
          </w:p>
        </w:tc>
      </w:tr>
      <w:tr w:rsidR="006C37E5">
        <w:trPr>
          <w:trHeight w:val="569"/>
        </w:trPr>
        <w:tc>
          <w:tcPr>
            <w:tcW w:w="5000" w:type="pct"/>
            <w:gridSpan w:val="9"/>
            <w:vAlign w:val="center"/>
          </w:tcPr>
          <w:p w:rsidR="006C37E5" w:rsidRDefault="00FF39E4">
            <w:pPr>
              <w:widowControl/>
              <w:jc w:val="left"/>
              <w:rPr>
                <w:rFonts w:ascii="宋体" w:hAnsi="宋体" w:cs="宋体"/>
                <w:color w:val="000000"/>
                <w:kern w:val="0"/>
                <w:sz w:val="18"/>
                <w:szCs w:val="18"/>
              </w:rPr>
            </w:pPr>
            <w:r>
              <w:rPr>
                <w:rFonts w:ascii="宋体" w:hAnsi="宋体" w:cs="宋体" w:hint="eastAsia"/>
                <w:color w:val="000000"/>
                <w:kern w:val="0"/>
                <w:sz w:val="18"/>
                <w:szCs w:val="18"/>
              </w:rPr>
              <w:t>二</w:t>
            </w:r>
            <w:r>
              <w:rPr>
                <w:rFonts w:ascii="宋体" w:hAnsi="宋体" w:cs="宋体"/>
                <w:color w:val="000000"/>
                <w:kern w:val="0"/>
                <w:sz w:val="18"/>
                <w:szCs w:val="18"/>
              </w:rPr>
              <w:t>、</w:t>
            </w:r>
            <w:r>
              <w:rPr>
                <w:rFonts w:ascii="宋体" w:hAnsi="宋体" w:cs="宋体" w:hint="eastAsia"/>
                <w:color w:val="000000"/>
                <w:kern w:val="0"/>
                <w:sz w:val="20"/>
                <w:szCs w:val="20"/>
              </w:rPr>
              <w:t>整体绩效目标实现情况（60分）</w:t>
            </w:r>
          </w:p>
        </w:tc>
      </w:tr>
      <w:tr w:rsidR="006C37E5">
        <w:trPr>
          <w:trHeight w:val="499"/>
        </w:trPr>
        <w:tc>
          <w:tcPr>
            <w:tcW w:w="52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w:t>
            </w:r>
          </w:p>
          <w:p w:rsidR="006C37E5" w:rsidRDefault="00FF39E4">
            <w:pPr>
              <w:widowControl/>
              <w:jc w:val="center"/>
              <w:rPr>
                <w:rFonts w:ascii="宋体" w:hAnsi="宋体" w:cs="宋体"/>
                <w:color w:val="000000"/>
                <w:kern w:val="0"/>
                <w:sz w:val="20"/>
                <w:szCs w:val="20"/>
              </w:rPr>
            </w:pPr>
            <w:r>
              <w:rPr>
                <w:rFonts w:ascii="宋体" w:hAnsi="宋体" w:cs="宋体"/>
                <w:color w:val="000000"/>
                <w:kern w:val="0"/>
                <w:sz w:val="20"/>
                <w:szCs w:val="20"/>
              </w:rPr>
              <w:t>指标</w:t>
            </w: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w:t>
            </w:r>
          </w:p>
          <w:p w:rsidR="006C37E5" w:rsidRDefault="00FF39E4">
            <w:pPr>
              <w:widowControl/>
              <w:jc w:val="center"/>
              <w:rPr>
                <w:rFonts w:ascii="宋体" w:hAnsi="宋体" w:cs="宋体"/>
                <w:color w:val="000000"/>
                <w:kern w:val="0"/>
                <w:sz w:val="20"/>
                <w:szCs w:val="20"/>
              </w:rPr>
            </w:pPr>
            <w:r>
              <w:rPr>
                <w:rFonts w:ascii="宋体" w:hAnsi="宋体" w:cs="宋体"/>
                <w:color w:val="000000"/>
                <w:kern w:val="0"/>
                <w:sz w:val="20"/>
                <w:szCs w:val="20"/>
              </w:rPr>
              <w:t>指标</w:t>
            </w:r>
            <w:r>
              <w:rPr>
                <w:rFonts w:ascii="宋体" w:hAnsi="宋体" w:cs="宋体" w:hint="eastAsia"/>
                <w:color w:val="000000"/>
                <w:kern w:val="0"/>
                <w:sz w:val="20"/>
                <w:szCs w:val="20"/>
              </w:rPr>
              <w:t xml:space="preserve">　</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三</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指标值</w:t>
            </w:r>
          </w:p>
        </w:tc>
        <w:tc>
          <w:tcPr>
            <w:tcW w:w="86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完成值</w:t>
            </w:r>
          </w:p>
        </w:tc>
        <w:tc>
          <w:tcPr>
            <w:tcW w:w="418"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1076"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r>
      <w:tr w:rsidR="006C37E5">
        <w:trPr>
          <w:trHeight w:val="1196"/>
        </w:trPr>
        <w:tc>
          <w:tcPr>
            <w:tcW w:w="528" w:type="pct"/>
            <w:vMerge w:val="restar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整体绩效目标实现情况（60）</w:t>
            </w:r>
          </w:p>
        </w:tc>
        <w:tc>
          <w:tcPr>
            <w:tcW w:w="525" w:type="pct"/>
            <w:vMerge w:val="restart"/>
            <w:vAlign w:val="center"/>
          </w:tcPr>
          <w:p w:rsidR="006C37E5" w:rsidRDefault="006C37E5">
            <w:pPr>
              <w:widowControl/>
              <w:jc w:val="center"/>
              <w:rPr>
                <w:rFonts w:ascii="宋体" w:hAnsi="宋体" w:cs="宋体"/>
                <w:color w:val="000000"/>
                <w:kern w:val="0"/>
                <w:sz w:val="20"/>
                <w:szCs w:val="20"/>
              </w:rPr>
            </w:pPr>
          </w:p>
          <w:p w:rsidR="006C37E5" w:rsidRDefault="00FF39E4">
            <w:pPr>
              <w:jc w:val="center"/>
              <w:rPr>
                <w:rFonts w:ascii="宋体" w:hAnsi="宋体" w:cs="宋体"/>
                <w:color w:val="000000"/>
                <w:kern w:val="0"/>
                <w:sz w:val="20"/>
                <w:szCs w:val="20"/>
              </w:rPr>
            </w:pPr>
            <w:r>
              <w:rPr>
                <w:rFonts w:ascii="宋体" w:hAnsi="宋体" w:cs="宋体" w:hint="eastAsia"/>
                <w:color w:val="000000"/>
                <w:kern w:val="0"/>
                <w:sz w:val="20"/>
                <w:szCs w:val="20"/>
              </w:rPr>
              <w:t>产出（30）</w:t>
            </w:r>
          </w:p>
        </w:tc>
        <w:tc>
          <w:tcPr>
            <w:tcW w:w="789" w:type="pct"/>
            <w:vAlign w:val="center"/>
          </w:tcPr>
          <w:p w:rsidR="006C37E5" w:rsidRDefault="00FF39E4">
            <w:pPr>
              <w:jc w:val="center"/>
              <w:rPr>
                <w:rFonts w:ascii="宋体" w:hAnsi="宋体" w:cs="宋体"/>
                <w:color w:val="000000"/>
                <w:kern w:val="0"/>
                <w:sz w:val="20"/>
                <w:szCs w:val="20"/>
              </w:rPr>
            </w:pPr>
            <w:r>
              <w:rPr>
                <w:rFonts w:ascii="宋体" w:hAnsi="宋体" w:cs="宋体" w:hint="eastAsia"/>
                <w:color w:val="000000"/>
                <w:kern w:val="0"/>
                <w:sz w:val="20"/>
                <w:szCs w:val="20"/>
              </w:rPr>
              <w:t>产出数量</w:t>
            </w:r>
          </w:p>
        </w:tc>
        <w:tc>
          <w:tcPr>
            <w:tcW w:w="794" w:type="pct"/>
            <w:vAlign w:val="center"/>
          </w:tcPr>
          <w:p w:rsidR="006C37E5" w:rsidRDefault="006C37E5">
            <w:pPr>
              <w:widowControl/>
              <w:jc w:val="center"/>
              <w:rPr>
                <w:rFonts w:ascii="宋体" w:hAnsi="宋体" w:cs="宋体"/>
                <w:color w:val="000000"/>
                <w:kern w:val="0"/>
                <w:sz w:val="20"/>
                <w:szCs w:val="20"/>
              </w:rPr>
            </w:pPr>
          </w:p>
          <w:p w:rsidR="006C37E5" w:rsidRDefault="00FF39E4">
            <w:pPr>
              <w:jc w:val="center"/>
              <w:rPr>
                <w:rFonts w:ascii="宋体" w:hAnsi="宋体" w:cs="宋体"/>
                <w:color w:val="000000"/>
                <w:kern w:val="0"/>
                <w:sz w:val="20"/>
                <w:szCs w:val="20"/>
              </w:rPr>
            </w:pPr>
            <w:r>
              <w:rPr>
                <w:rFonts w:ascii="宋体" w:hAnsi="宋体" w:cs="宋体" w:hint="eastAsia"/>
                <w:color w:val="000000"/>
                <w:kern w:val="0"/>
                <w:sz w:val="20"/>
                <w:szCs w:val="20"/>
              </w:rPr>
              <w:t>完成反腐败、查办四风问题、干部管理工作、宣传工作等</w:t>
            </w:r>
          </w:p>
        </w:tc>
        <w:tc>
          <w:tcPr>
            <w:tcW w:w="86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各项工作完成</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情况良好</w:t>
            </w:r>
          </w:p>
          <w:p w:rsidR="006C37E5" w:rsidRDefault="006C37E5">
            <w:pPr>
              <w:jc w:val="center"/>
              <w:rPr>
                <w:rFonts w:ascii="宋体" w:hAnsi="宋体" w:cs="宋体"/>
                <w:color w:val="000000"/>
                <w:kern w:val="0"/>
                <w:sz w:val="20"/>
                <w:szCs w:val="20"/>
              </w:rPr>
            </w:pPr>
          </w:p>
        </w:tc>
        <w:tc>
          <w:tcPr>
            <w:tcW w:w="418" w:type="pct"/>
            <w:gridSpan w:val="2"/>
            <w:vMerge w:val="restart"/>
            <w:vAlign w:val="center"/>
          </w:tcPr>
          <w:p w:rsidR="006C37E5" w:rsidRDefault="006C37E5">
            <w:pPr>
              <w:widowControl/>
              <w:jc w:val="center"/>
              <w:rPr>
                <w:rFonts w:ascii="宋体" w:hAnsi="宋体" w:cs="宋体"/>
                <w:color w:val="000000"/>
                <w:kern w:val="0"/>
                <w:sz w:val="20"/>
                <w:szCs w:val="20"/>
              </w:rPr>
            </w:pPr>
          </w:p>
          <w:p w:rsidR="006C37E5" w:rsidRDefault="00FF39E4">
            <w:pPr>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076"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8.5</w:t>
            </w:r>
          </w:p>
          <w:p w:rsidR="006C37E5" w:rsidRDefault="00FF39E4">
            <w:pPr>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C37E5">
        <w:trPr>
          <w:trHeight w:val="1130"/>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ign w:val="center"/>
          </w:tcPr>
          <w:p w:rsidR="006C37E5" w:rsidRDefault="006C37E5">
            <w:pPr>
              <w:widowControl/>
              <w:jc w:val="left"/>
              <w:rPr>
                <w:rFonts w:ascii="宋体" w:hAnsi="宋体" w:cs="宋体"/>
                <w:color w:val="000000"/>
                <w:kern w:val="0"/>
                <w:sz w:val="20"/>
                <w:szCs w:val="20"/>
              </w:rPr>
            </w:pP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产出质量</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保障监督、办案、巡视、队伍建设和宣传工作质量</w:t>
            </w:r>
          </w:p>
        </w:tc>
        <w:tc>
          <w:tcPr>
            <w:tcW w:w="86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各项工作质量</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总体良好</w:t>
            </w:r>
          </w:p>
          <w:p w:rsidR="006C37E5" w:rsidRDefault="006C37E5">
            <w:pPr>
              <w:widowControl/>
              <w:jc w:val="center"/>
              <w:rPr>
                <w:rFonts w:ascii="宋体" w:hAnsi="宋体" w:cs="宋体"/>
                <w:color w:val="000000"/>
                <w:kern w:val="0"/>
                <w:sz w:val="20"/>
                <w:szCs w:val="20"/>
              </w:rPr>
            </w:pPr>
          </w:p>
        </w:tc>
        <w:tc>
          <w:tcPr>
            <w:tcW w:w="418" w:type="pct"/>
            <w:gridSpan w:val="2"/>
            <w:vMerge/>
            <w:vAlign w:val="center"/>
          </w:tcPr>
          <w:p w:rsidR="006C37E5" w:rsidRDefault="006C37E5">
            <w:pPr>
              <w:widowControl/>
              <w:jc w:val="left"/>
              <w:rPr>
                <w:rFonts w:ascii="宋体" w:hAnsi="宋体" w:cs="宋体"/>
                <w:color w:val="000000"/>
                <w:kern w:val="0"/>
                <w:sz w:val="20"/>
                <w:szCs w:val="20"/>
              </w:rPr>
            </w:pPr>
          </w:p>
        </w:tc>
        <w:tc>
          <w:tcPr>
            <w:tcW w:w="1076"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7.5</w:t>
            </w:r>
          </w:p>
        </w:tc>
      </w:tr>
      <w:tr w:rsidR="006C37E5">
        <w:trPr>
          <w:trHeight w:val="1258"/>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ign w:val="center"/>
          </w:tcPr>
          <w:p w:rsidR="006C37E5" w:rsidRDefault="006C37E5">
            <w:pPr>
              <w:widowControl/>
              <w:jc w:val="left"/>
              <w:rPr>
                <w:rFonts w:ascii="宋体" w:hAnsi="宋体" w:cs="宋体"/>
                <w:color w:val="000000"/>
                <w:kern w:val="0"/>
                <w:sz w:val="20"/>
                <w:szCs w:val="20"/>
              </w:rPr>
            </w:pP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产出进度</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经费支出进度与时间进度相匹配</w:t>
            </w:r>
          </w:p>
        </w:tc>
        <w:tc>
          <w:tcPr>
            <w:tcW w:w="86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支出进度总体良好　</w:t>
            </w:r>
          </w:p>
        </w:tc>
        <w:tc>
          <w:tcPr>
            <w:tcW w:w="418" w:type="pct"/>
            <w:gridSpan w:val="2"/>
            <w:vMerge/>
            <w:vAlign w:val="center"/>
          </w:tcPr>
          <w:p w:rsidR="006C37E5" w:rsidRDefault="006C37E5">
            <w:pPr>
              <w:widowControl/>
              <w:jc w:val="left"/>
              <w:rPr>
                <w:rFonts w:ascii="宋体" w:hAnsi="宋体" w:cs="宋体"/>
                <w:color w:val="000000"/>
                <w:kern w:val="0"/>
                <w:sz w:val="20"/>
                <w:szCs w:val="20"/>
              </w:rPr>
            </w:pPr>
          </w:p>
        </w:tc>
        <w:tc>
          <w:tcPr>
            <w:tcW w:w="1076"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r>
      <w:tr w:rsidR="006C37E5">
        <w:trPr>
          <w:trHeight w:val="1482"/>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ign w:val="center"/>
          </w:tcPr>
          <w:p w:rsidR="006C37E5" w:rsidRDefault="006C37E5">
            <w:pPr>
              <w:widowControl/>
              <w:jc w:val="left"/>
              <w:rPr>
                <w:rFonts w:ascii="宋体" w:hAnsi="宋体" w:cs="宋体"/>
                <w:color w:val="000000"/>
                <w:kern w:val="0"/>
                <w:sz w:val="20"/>
                <w:szCs w:val="20"/>
              </w:rPr>
            </w:pP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产出成本</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落实政府“过紧日子”要求，压缩一般性支出　</w:t>
            </w:r>
          </w:p>
        </w:tc>
        <w:tc>
          <w:tcPr>
            <w:tcW w:w="86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一般性支出</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大幅压缩　</w:t>
            </w:r>
          </w:p>
        </w:tc>
        <w:tc>
          <w:tcPr>
            <w:tcW w:w="418" w:type="pct"/>
            <w:gridSpan w:val="2"/>
            <w:vMerge/>
            <w:vAlign w:val="center"/>
          </w:tcPr>
          <w:p w:rsidR="006C37E5" w:rsidRDefault="006C37E5">
            <w:pPr>
              <w:widowControl/>
              <w:jc w:val="left"/>
              <w:rPr>
                <w:rFonts w:ascii="宋体" w:hAnsi="宋体" w:cs="宋体"/>
                <w:color w:val="000000"/>
                <w:kern w:val="0"/>
                <w:sz w:val="20"/>
                <w:szCs w:val="20"/>
              </w:rPr>
            </w:pPr>
          </w:p>
        </w:tc>
        <w:tc>
          <w:tcPr>
            <w:tcW w:w="1076"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7　</w:t>
            </w:r>
          </w:p>
        </w:tc>
      </w:tr>
      <w:tr w:rsidR="006C37E5">
        <w:trPr>
          <w:trHeight w:val="675"/>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restar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效果（30）</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经济效益</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挽回国有资产和社会经济损失　</w:t>
            </w:r>
          </w:p>
        </w:tc>
        <w:tc>
          <w:tcPr>
            <w:tcW w:w="868" w:type="pct"/>
            <w:vAlign w:val="center"/>
          </w:tcPr>
          <w:p w:rsidR="006C37E5" w:rsidRDefault="00CC77FF">
            <w:pPr>
              <w:widowControl/>
              <w:jc w:val="center"/>
              <w:rPr>
                <w:rFonts w:ascii="宋体" w:hAnsi="宋体" w:cs="宋体"/>
                <w:color w:val="000000"/>
                <w:kern w:val="0"/>
                <w:sz w:val="20"/>
                <w:szCs w:val="20"/>
              </w:rPr>
            </w:pPr>
            <w:r>
              <w:rPr>
                <w:rFonts w:ascii="宋体" w:hAnsi="宋体" w:cs="宋体" w:hint="eastAsia"/>
                <w:color w:val="000000"/>
                <w:kern w:val="0"/>
                <w:sz w:val="20"/>
                <w:szCs w:val="20"/>
              </w:rPr>
              <w:t>挽回国有资产和社会</w:t>
            </w:r>
            <w:r w:rsidR="00FF39E4">
              <w:rPr>
                <w:rFonts w:ascii="宋体" w:hAnsi="宋体" w:cs="宋体" w:hint="eastAsia"/>
                <w:color w:val="000000"/>
                <w:kern w:val="0"/>
                <w:sz w:val="20"/>
                <w:szCs w:val="20"/>
              </w:rPr>
              <w:t xml:space="preserve">经济损失　　</w:t>
            </w:r>
          </w:p>
        </w:tc>
        <w:tc>
          <w:tcPr>
            <w:tcW w:w="418" w:type="pct"/>
            <w:gridSpan w:val="2"/>
            <w:vMerge w:val="restart"/>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076"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6C37E5">
        <w:trPr>
          <w:trHeight w:val="630"/>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ign w:val="center"/>
          </w:tcPr>
          <w:p w:rsidR="006C37E5" w:rsidRDefault="006C37E5">
            <w:pPr>
              <w:widowControl/>
              <w:jc w:val="left"/>
              <w:rPr>
                <w:rFonts w:ascii="宋体" w:hAnsi="宋体" w:cs="宋体"/>
                <w:color w:val="000000"/>
                <w:kern w:val="0"/>
                <w:sz w:val="20"/>
                <w:szCs w:val="20"/>
              </w:rPr>
            </w:pP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促进党组织和公职人员正确履职，服务发展　</w:t>
            </w:r>
          </w:p>
        </w:tc>
        <w:tc>
          <w:tcPr>
            <w:tcW w:w="868" w:type="pct"/>
            <w:vAlign w:val="center"/>
          </w:tcPr>
          <w:p w:rsidR="006C37E5" w:rsidRDefault="00CC77FF">
            <w:pPr>
              <w:widowControl/>
              <w:jc w:val="center"/>
              <w:rPr>
                <w:rFonts w:ascii="宋体" w:hAnsi="宋体" w:cs="宋体"/>
                <w:color w:val="000000"/>
                <w:kern w:val="0"/>
                <w:sz w:val="20"/>
                <w:szCs w:val="20"/>
              </w:rPr>
            </w:pPr>
            <w:r w:rsidRPr="00CC77FF">
              <w:rPr>
                <w:rFonts w:ascii="宋体" w:hAnsi="宋体" w:cs="宋体" w:hint="eastAsia"/>
                <w:bCs/>
                <w:color w:val="000000"/>
                <w:kern w:val="0"/>
                <w:sz w:val="20"/>
                <w:szCs w:val="20"/>
              </w:rPr>
              <w:t>深化以案促改促治</w:t>
            </w:r>
            <w:r>
              <w:rPr>
                <w:rFonts w:ascii="宋体" w:hAnsi="宋体" w:cs="宋体" w:hint="eastAsia"/>
                <w:bCs/>
                <w:color w:val="000000"/>
                <w:kern w:val="0"/>
                <w:sz w:val="20"/>
                <w:szCs w:val="20"/>
              </w:rPr>
              <w:t>,</w:t>
            </w:r>
            <w:r w:rsidRPr="00CC77FF">
              <w:rPr>
                <w:rFonts w:ascii="仿宋_GB2312" w:eastAsia="仿宋_GB2312" w:hAnsi="宋体" w:cs="宋体" w:hint="eastAsia"/>
                <w:bCs/>
                <w:color w:val="000000"/>
                <w:kern w:val="0"/>
                <w:sz w:val="32"/>
                <w:szCs w:val="32"/>
              </w:rPr>
              <w:t xml:space="preserve"> </w:t>
            </w:r>
            <w:r w:rsidRPr="00CC77FF">
              <w:rPr>
                <w:rFonts w:ascii="宋体" w:hAnsi="宋体" w:cs="宋体" w:hint="eastAsia"/>
                <w:bCs/>
                <w:color w:val="000000"/>
                <w:kern w:val="0"/>
                <w:sz w:val="20"/>
                <w:szCs w:val="20"/>
              </w:rPr>
              <w:t>加强新时代首都廉洁文化建设。</w:t>
            </w:r>
          </w:p>
        </w:tc>
        <w:tc>
          <w:tcPr>
            <w:tcW w:w="418" w:type="pct"/>
            <w:gridSpan w:val="2"/>
            <w:vMerge/>
            <w:vAlign w:val="center"/>
          </w:tcPr>
          <w:p w:rsidR="006C37E5" w:rsidRDefault="006C37E5">
            <w:pPr>
              <w:widowControl/>
              <w:jc w:val="left"/>
              <w:rPr>
                <w:rFonts w:ascii="宋体" w:hAnsi="宋体" w:cs="宋体"/>
                <w:color w:val="000000"/>
                <w:kern w:val="0"/>
                <w:sz w:val="20"/>
                <w:szCs w:val="20"/>
              </w:rPr>
            </w:pPr>
          </w:p>
        </w:tc>
        <w:tc>
          <w:tcPr>
            <w:tcW w:w="1076"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6C37E5">
        <w:trPr>
          <w:trHeight w:val="690"/>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ign w:val="center"/>
          </w:tcPr>
          <w:p w:rsidR="006C37E5" w:rsidRDefault="006C37E5">
            <w:pPr>
              <w:widowControl/>
              <w:jc w:val="left"/>
              <w:rPr>
                <w:rFonts w:ascii="宋体" w:hAnsi="宋体" w:cs="宋体"/>
                <w:color w:val="000000"/>
                <w:kern w:val="0"/>
                <w:sz w:val="20"/>
                <w:szCs w:val="20"/>
              </w:rPr>
            </w:pP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政治生态</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铲除腐败滋生的土壤和条件方面　</w:t>
            </w:r>
          </w:p>
        </w:tc>
        <w:tc>
          <w:tcPr>
            <w:tcW w:w="86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全市纪检监察机关形成调研报告144篇、典型问题清单103个、重要成果转化清单103个　</w:t>
            </w:r>
          </w:p>
        </w:tc>
        <w:tc>
          <w:tcPr>
            <w:tcW w:w="418" w:type="pct"/>
            <w:gridSpan w:val="2"/>
            <w:vMerge/>
            <w:vAlign w:val="center"/>
          </w:tcPr>
          <w:p w:rsidR="006C37E5" w:rsidRDefault="006C37E5">
            <w:pPr>
              <w:widowControl/>
              <w:jc w:val="left"/>
              <w:rPr>
                <w:rFonts w:ascii="宋体" w:hAnsi="宋体" w:cs="宋体"/>
                <w:color w:val="000000"/>
                <w:kern w:val="0"/>
                <w:sz w:val="20"/>
                <w:szCs w:val="20"/>
              </w:rPr>
            </w:pPr>
          </w:p>
        </w:tc>
        <w:tc>
          <w:tcPr>
            <w:tcW w:w="1076"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6C37E5">
        <w:trPr>
          <w:trHeight w:val="4285"/>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ign w:val="center"/>
          </w:tcPr>
          <w:p w:rsidR="006C37E5" w:rsidRDefault="006C37E5">
            <w:pPr>
              <w:widowControl/>
              <w:jc w:val="left"/>
              <w:rPr>
                <w:rFonts w:ascii="宋体" w:hAnsi="宋体" w:cs="宋体"/>
                <w:color w:val="000000"/>
                <w:kern w:val="0"/>
                <w:sz w:val="20"/>
                <w:szCs w:val="20"/>
              </w:rPr>
            </w:pPr>
          </w:p>
        </w:tc>
        <w:tc>
          <w:tcPr>
            <w:tcW w:w="789" w:type="pct"/>
            <w:vAlign w:val="center"/>
          </w:tcPr>
          <w:p w:rsidR="006C37E5" w:rsidRDefault="00FF39E4">
            <w:pPr>
              <w:widowControl/>
              <w:rPr>
                <w:rFonts w:ascii="宋体" w:hAnsi="宋体" w:cs="宋体"/>
                <w:color w:val="000000"/>
                <w:kern w:val="0"/>
                <w:sz w:val="20"/>
                <w:szCs w:val="20"/>
              </w:rPr>
            </w:pPr>
            <w:r>
              <w:rPr>
                <w:rFonts w:ascii="宋体" w:hAnsi="宋体" w:cs="宋体" w:hint="eastAsia"/>
                <w:color w:val="000000"/>
                <w:kern w:val="0"/>
                <w:sz w:val="20"/>
                <w:szCs w:val="20"/>
              </w:rPr>
              <w:t>可持续影响</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推动构建具有首都特色的全面从严治党体系　</w:t>
            </w:r>
          </w:p>
        </w:tc>
        <w:tc>
          <w:tcPr>
            <w:tcW w:w="86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全市各级检察机关坚持以“两个维护”统领纪检监察一切工作，聚焦中心任务，推动构建具有首都特色的全面从严治党体系　</w:t>
            </w:r>
          </w:p>
        </w:tc>
        <w:tc>
          <w:tcPr>
            <w:tcW w:w="418" w:type="pct"/>
            <w:gridSpan w:val="2"/>
            <w:vMerge/>
            <w:vAlign w:val="center"/>
          </w:tcPr>
          <w:p w:rsidR="006C37E5" w:rsidRDefault="006C37E5">
            <w:pPr>
              <w:widowControl/>
              <w:jc w:val="left"/>
              <w:rPr>
                <w:rFonts w:ascii="宋体" w:hAnsi="宋体" w:cs="宋体"/>
                <w:color w:val="000000"/>
                <w:kern w:val="0"/>
                <w:sz w:val="20"/>
                <w:szCs w:val="20"/>
              </w:rPr>
            </w:pPr>
          </w:p>
        </w:tc>
        <w:tc>
          <w:tcPr>
            <w:tcW w:w="1076"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10　</w:t>
            </w:r>
          </w:p>
        </w:tc>
      </w:tr>
      <w:tr w:rsidR="006C37E5">
        <w:trPr>
          <w:trHeight w:val="560"/>
        </w:trPr>
        <w:tc>
          <w:tcPr>
            <w:tcW w:w="5000" w:type="pct"/>
            <w:gridSpan w:val="9"/>
            <w:vAlign w:val="center"/>
          </w:tcPr>
          <w:p w:rsidR="006C37E5" w:rsidRDefault="00FF39E4">
            <w:pPr>
              <w:widowControl/>
              <w:jc w:val="left"/>
              <w:rPr>
                <w:rFonts w:ascii="宋体" w:hAnsi="宋体" w:cs="宋体"/>
                <w:color w:val="000000"/>
                <w:kern w:val="0"/>
                <w:sz w:val="18"/>
                <w:szCs w:val="18"/>
              </w:rPr>
            </w:pPr>
            <w:r>
              <w:rPr>
                <w:rFonts w:ascii="宋体" w:hAnsi="宋体" w:cs="宋体" w:hint="eastAsia"/>
                <w:color w:val="000000"/>
                <w:kern w:val="0"/>
                <w:sz w:val="18"/>
                <w:szCs w:val="18"/>
              </w:rPr>
              <w:t>三</w:t>
            </w:r>
            <w:r>
              <w:rPr>
                <w:rFonts w:ascii="宋体" w:hAnsi="宋体" w:cs="宋体"/>
                <w:color w:val="000000"/>
                <w:kern w:val="0"/>
                <w:sz w:val="18"/>
                <w:szCs w:val="18"/>
              </w:rPr>
              <w:t>、</w:t>
            </w:r>
            <w:r>
              <w:rPr>
                <w:rFonts w:ascii="宋体" w:hAnsi="宋体" w:cs="宋体" w:hint="eastAsia"/>
                <w:color w:val="000000"/>
                <w:kern w:val="0"/>
                <w:sz w:val="20"/>
                <w:szCs w:val="20"/>
              </w:rPr>
              <w:t>预算管理情况（20分）</w:t>
            </w:r>
          </w:p>
        </w:tc>
      </w:tr>
      <w:tr w:rsidR="006C37E5">
        <w:trPr>
          <w:trHeight w:val="554"/>
        </w:trPr>
        <w:tc>
          <w:tcPr>
            <w:tcW w:w="528"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w:t>
            </w:r>
          </w:p>
          <w:p w:rsidR="006C37E5" w:rsidRDefault="00FF39E4">
            <w:pPr>
              <w:widowControl/>
              <w:jc w:val="center"/>
              <w:rPr>
                <w:rFonts w:ascii="宋体" w:hAnsi="宋体" w:cs="宋体"/>
                <w:color w:val="000000"/>
                <w:kern w:val="0"/>
                <w:sz w:val="20"/>
                <w:szCs w:val="20"/>
              </w:rPr>
            </w:pPr>
            <w:r>
              <w:rPr>
                <w:rFonts w:ascii="宋体" w:hAnsi="宋体" w:cs="宋体"/>
                <w:color w:val="000000"/>
                <w:kern w:val="0"/>
                <w:sz w:val="20"/>
                <w:szCs w:val="20"/>
              </w:rPr>
              <w:t>指标</w:t>
            </w: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w:t>
            </w:r>
          </w:p>
          <w:p w:rsidR="006C37E5" w:rsidRDefault="00FF39E4">
            <w:pPr>
              <w:widowControl/>
              <w:jc w:val="center"/>
              <w:rPr>
                <w:rFonts w:ascii="宋体" w:hAnsi="宋体" w:cs="宋体"/>
                <w:color w:val="000000"/>
                <w:kern w:val="0"/>
                <w:sz w:val="20"/>
                <w:szCs w:val="20"/>
              </w:rPr>
            </w:pPr>
            <w:r>
              <w:rPr>
                <w:rFonts w:ascii="宋体" w:hAnsi="宋体" w:cs="宋体"/>
                <w:color w:val="000000"/>
                <w:kern w:val="0"/>
                <w:sz w:val="20"/>
                <w:szCs w:val="20"/>
              </w:rPr>
              <w:t>指标</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三</w:t>
            </w:r>
            <w:r>
              <w:rPr>
                <w:rFonts w:ascii="宋体" w:hAnsi="宋体" w:cs="宋体"/>
                <w:color w:val="000000"/>
                <w:kern w:val="0"/>
                <w:sz w:val="20"/>
                <w:szCs w:val="20"/>
              </w:rPr>
              <w:t>级指标</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w:t>
            </w:r>
            <w:r>
              <w:rPr>
                <w:rFonts w:ascii="宋体" w:hAnsi="宋体" w:cs="宋体"/>
                <w:color w:val="000000"/>
                <w:kern w:val="0"/>
                <w:sz w:val="20"/>
                <w:szCs w:val="20"/>
              </w:rPr>
              <w:t>值</w:t>
            </w:r>
          </w:p>
        </w:tc>
        <w:tc>
          <w:tcPr>
            <w:tcW w:w="1202"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r>
              <w:rPr>
                <w:rFonts w:ascii="宋体" w:hAnsi="宋体" w:cs="宋体"/>
                <w:color w:val="000000"/>
                <w:kern w:val="0"/>
                <w:sz w:val="20"/>
                <w:szCs w:val="20"/>
              </w:rPr>
              <w:t>值</w:t>
            </w:r>
          </w:p>
        </w:tc>
        <w:tc>
          <w:tcPr>
            <w:tcW w:w="554"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分</w:t>
            </w:r>
            <w:r>
              <w:rPr>
                <w:rFonts w:ascii="宋体" w:hAnsi="宋体" w:cs="宋体"/>
                <w:color w:val="000000"/>
                <w:kern w:val="0"/>
                <w:sz w:val="20"/>
                <w:szCs w:val="20"/>
              </w:rPr>
              <w:t>值</w:t>
            </w:r>
          </w:p>
        </w:tc>
        <w:tc>
          <w:tcPr>
            <w:tcW w:w="606" w:type="pct"/>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得</w:t>
            </w:r>
            <w:r>
              <w:rPr>
                <w:rFonts w:ascii="宋体" w:hAnsi="宋体" w:cs="宋体"/>
                <w:color w:val="000000"/>
                <w:kern w:val="0"/>
                <w:sz w:val="20"/>
                <w:szCs w:val="20"/>
              </w:rPr>
              <w:t>分</w:t>
            </w:r>
          </w:p>
        </w:tc>
      </w:tr>
      <w:tr w:rsidR="006C37E5">
        <w:trPr>
          <w:trHeight w:val="1292"/>
        </w:trPr>
        <w:tc>
          <w:tcPr>
            <w:tcW w:w="528" w:type="pct"/>
            <w:vMerge w:val="restar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预算管理情况（20）</w:t>
            </w:r>
          </w:p>
        </w:tc>
        <w:tc>
          <w:tcPr>
            <w:tcW w:w="525" w:type="pct"/>
            <w:vMerge w:val="restar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财务管理（4）</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财务管理制度健全性</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健全财务管理和内部控制制度</w:t>
            </w:r>
          </w:p>
        </w:tc>
        <w:tc>
          <w:tcPr>
            <w:tcW w:w="1202"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进一步健全财务管理和内部</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控制制度</w:t>
            </w:r>
          </w:p>
        </w:tc>
        <w:tc>
          <w:tcPr>
            <w:tcW w:w="554"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6" w:type="pct"/>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　</w:t>
            </w:r>
          </w:p>
        </w:tc>
      </w:tr>
      <w:tr w:rsidR="006C37E5">
        <w:trPr>
          <w:trHeight w:val="2220"/>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ign w:val="center"/>
          </w:tcPr>
          <w:p w:rsidR="006C37E5" w:rsidRDefault="006C37E5">
            <w:pPr>
              <w:widowControl/>
              <w:jc w:val="left"/>
              <w:rPr>
                <w:rFonts w:ascii="宋体" w:hAnsi="宋体" w:cs="宋体"/>
                <w:color w:val="000000"/>
                <w:kern w:val="0"/>
                <w:sz w:val="20"/>
                <w:szCs w:val="20"/>
              </w:rPr>
            </w:pP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资金使用合规性和安全性</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加强内控管理，落实政府采购、政府购买服务相关工作要求，保障资金使用合规、安全　</w:t>
            </w:r>
          </w:p>
        </w:tc>
        <w:tc>
          <w:tcPr>
            <w:tcW w:w="1202"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资金使用总体合规、安全。符合相关要求和流程</w:t>
            </w:r>
          </w:p>
        </w:tc>
        <w:tc>
          <w:tcPr>
            <w:tcW w:w="554"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6" w:type="pct"/>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6C37E5">
        <w:trPr>
          <w:trHeight w:val="1035"/>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Merge/>
            <w:vAlign w:val="center"/>
          </w:tcPr>
          <w:p w:rsidR="006C37E5" w:rsidRDefault="006C37E5">
            <w:pPr>
              <w:widowControl/>
              <w:jc w:val="left"/>
              <w:rPr>
                <w:rFonts w:ascii="宋体" w:hAnsi="宋体" w:cs="宋体"/>
                <w:color w:val="000000"/>
                <w:kern w:val="0"/>
                <w:sz w:val="20"/>
                <w:szCs w:val="20"/>
              </w:rPr>
            </w:pP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会计基础信息完善性</w:t>
            </w:r>
          </w:p>
        </w:tc>
        <w:tc>
          <w:tcPr>
            <w:tcW w:w="794"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会计基础信息完整准确</w:t>
            </w:r>
          </w:p>
        </w:tc>
        <w:tc>
          <w:tcPr>
            <w:tcW w:w="1202"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会计基础信息</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完整准确　</w:t>
            </w:r>
          </w:p>
        </w:tc>
        <w:tc>
          <w:tcPr>
            <w:tcW w:w="554" w:type="pct"/>
            <w:gridSpan w:val="2"/>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6" w:type="pct"/>
            <w:noWrap/>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　</w:t>
            </w:r>
          </w:p>
        </w:tc>
      </w:tr>
      <w:tr w:rsidR="006C37E5">
        <w:trPr>
          <w:trHeight w:val="2220"/>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资产管理（4）</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规范性</w:t>
            </w:r>
          </w:p>
        </w:tc>
        <w:tc>
          <w:tcPr>
            <w:tcW w:w="794" w:type="pct"/>
            <w:vAlign w:val="center"/>
          </w:tcPr>
          <w:p w:rsidR="006C37E5" w:rsidRDefault="00FF39E4">
            <w:pPr>
              <w:widowControl/>
              <w:jc w:val="left"/>
              <w:rPr>
                <w:rFonts w:ascii="宋体" w:hAnsi="宋体" w:cs="宋体"/>
                <w:color w:val="000000"/>
                <w:kern w:val="0"/>
                <w:sz w:val="20"/>
                <w:szCs w:val="20"/>
              </w:rPr>
            </w:pPr>
            <w:r>
              <w:rPr>
                <w:rFonts w:ascii="宋体" w:hAnsi="宋体" w:cs="宋体" w:hint="eastAsia"/>
                <w:color w:val="000000"/>
                <w:kern w:val="0"/>
                <w:sz w:val="20"/>
                <w:szCs w:val="20"/>
              </w:rPr>
              <w:t>规范资产采购、配置、处置和日常使用管理</w:t>
            </w:r>
          </w:p>
        </w:tc>
        <w:tc>
          <w:tcPr>
            <w:tcW w:w="1202"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资产管理工作基本规范有序。</w:t>
            </w:r>
          </w:p>
        </w:tc>
        <w:tc>
          <w:tcPr>
            <w:tcW w:w="554"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6"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6C37E5">
        <w:trPr>
          <w:trHeight w:val="1280"/>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绩效管理（4）</w:t>
            </w:r>
          </w:p>
        </w:tc>
        <w:tc>
          <w:tcPr>
            <w:tcW w:w="789"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绩效管理</w:t>
            </w:r>
          </w:p>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情况</w:t>
            </w:r>
          </w:p>
        </w:tc>
        <w:tc>
          <w:tcPr>
            <w:tcW w:w="794" w:type="pct"/>
            <w:vAlign w:val="center"/>
          </w:tcPr>
          <w:p w:rsidR="006C37E5" w:rsidRDefault="00FF39E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填报绩效目标，开展绩效运行监控和绩效评价　</w:t>
            </w:r>
          </w:p>
        </w:tc>
        <w:tc>
          <w:tcPr>
            <w:tcW w:w="1202"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完成绩效目标填报和绩效评价工作，绩效工作进一步统筹需加强</w:t>
            </w:r>
          </w:p>
        </w:tc>
        <w:tc>
          <w:tcPr>
            <w:tcW w:w="554"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6"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6C37E5">
        <w:trPr>
          <w:trHeight w:val="394"/>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指标　</w:t>
            </w:r>
          </w:p>
        </w:tc>
        <w:tc>
          <w:tcPr>
            <w:tcW w:w="1584"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2023年</w:t>
            </w:r>
          </w:p>
        </w:tc>
        <w:tc>
          <w:tcPr>
            <w:tcW w:w="1202"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2024年</w:t>
            </w:r>
          </w:p>
        </w:tc>
        <w:tc>
          <w:tcPr>
            <w:tcW w:w="554"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606"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r>
      <w:tr w:rsidR="002114E1" w:rsidTr="002E6B07">
        <w:trPr>
          <w:trHeight w:val="1365"/>
        </w:trPr>
        <w:tc>
          <w:tcPr>
            <w:tcW w:w="528" w:type="pct"/>
            <w:vMerge/>
            <w:vAlign w:val="center"/>
          </w:tcPr>
          <w:p w:rsidR="002114E1" w:rsidRDefault="002114E1">
            <w:pPr>
              <w:widowControl/>
              <w:jc w:val="left"/>
              <w:rPr>
                <w:rFonts w:ascii="宋体" w:hAnsi="宋体" w:cs="宋体"/>
                <w:color w:val="000000"/>
                <w:kern w:val="0"/>
                <w:sz w:val="20"/>
                <w:szCs w:val="20"/>
              </w:rPr>
            </w:pPr>
          </w:p>
        </w:tc>
        <w:tc>
          <w:tcPr>
            <w:tcW w:w="525" w:type="pct"/>
            <w:vAlign w:val="center"/>
          </w:tcPr>
          <w:p w:rsidR="002114E1" w:rsidRDefault="002114E1">
            <w:pPr>
              <w:widowControl/>
              <w:jc w:val="center"/>
              <w:rPr>
                <w:rFonts w:ascii="宋体" w:hAnsi="宋体" w:cs="宋体"/>
                <w:color w:val="000000"/>
                <w:kern w:val="0"/>
                <w:sz w:val="20"/>
                <w:szCs w:val="20"/>
              </w:rPr>
            </w:pPr>
            <w:r>
              <w:rPr>
                <w:rFonts w:ascii="宋体" w:hAnsi="宋体" w:cs="宋体" w:hint="eastAsia"/>
                <w:color w:val="000000"/>
                <w:kern w:val="0"/>
                <w:sz w:val="20"/>
                <w:szCs w:val="20"/>
              </w:rPr>
              <w:t>结转结余率（4）</w:t>
            </w:r>
          </w:p>
        </w:tc>
        <w:tc>
          <w:tcPr>
            <w:tcW w:w="1" w:type="pct"/>
            <w:gridSpan w:val="4"/>
            <w:vAlign w:val="center"/>
          </w:tcPr>
          <w:p w:rsidR="002114E1" w:rsidRDefault="002114E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2024年比2023年有所降低　</w:t>
            </w:r>
          </w:p>
        </w:tc>
        <w:tc>
          <w:tcPr>
            <w:tcW w:w="554" w:type="pct"/>
            <w:gridSpan w:val="2"/>
            <w:vAlign w:val="center"/>
          </w:tcPr>
          <w:p w:rsidR="002114E1" w:rsidRDefault="002114E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6" w:type="pct"/>
            <w:vAlign w:val="center"/>
          </w:tcPr>
          <w:p w:rsidR="002114E1" w:rsidRDefault="002114E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4　</w:t>
            </w:r>
          </w:p>
        </w:tc>
      </w:tr>
      <w:tr w:rsidR="006C37E5" w:rsidTr="002114E1">
        <w:trPr>
          <w:trHeight w:val="1085"/>
        </w:trPr>
        <w:tc>
          <w:tcPr>
            <w:tcW w:w="528" w:type="pct"/>
            <w:vMerge/>
            <w:vAlign w:val="center"/>
          </w:tcPr>
          <w:p w:rsidR="006C37E5" w:rsidRDefault="006C37E5">
            <w:pPr>
              <w:widowControl/>
              <w:jc w:val="left"/>
              <w:rPr>
                <w:rFonts w:ascii="宋体" w:hAnsi="宋体" w:cs="宋体"/>
                <w:color w:val="000000"/>
                <w:kern w:val="0"/>
                <w:sz w:val="20"/>
                <w:szCs w:val="20"/>
              </w:rPr>
            </w:pPr>
          </w:p>
        </w:tc>
        <w:tc>
          <w:tcPr>
            <w:tcW w:w="525" w:type="pct"/>
            <w:vAlign w:val="center"/>
          </w:tcPr>
          <w:p w:rsidR="006C37E5" w:rsidRDefault="00FF39E4">
            <w:pPr>
              <w:widowControl/>
              <w:jc w:val="center"/>
              <w:rPr>
                <w:rFonts w:ascii="宋体" w:hAnsi="宋体" w:cs="宋体"/>
                <w:color w:val="000000"/>
                <w:spacing w:val="-20"/>
                <w:kern w:val="0"/>
                <w:sz w:val="20"/>
                <w:szCs w:val="20"/>
              </w:rPr>
            </w:pPr>
            <w:r>
              <w:rPr>
                <w:rFonts w:ascii="宋体" w:hAnsi="宋体" w:cs="宋体" w:hint="eastAsia"/>
                <w:color w:val="000000"/>
                <w:spacing w:val="-20"/>
                <w:kern w:val="0"/>
                <w:sz w:val="20"/>
                <w:szCs w:val="20"/>
              </w:rPr>
              <w:t>预决算差异率（4）</w:t>
            </w:r>
          </w:p>
        </w:tc>
        <w:tc>
          <w:tcPr>
            <w:tcW w:w="1585"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10.2%</w:t>
            </w:r>
          </w:p>
        </w:tc>
        <w:tc>
          <w:tcPr>
            <w:tcW w:w="1202"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18.55%</w:t>
            </w:r>
          </w:p>
        </w:tc>
        <w:tc>
          <w:tcPr>
            <w:tcW w:w="554"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7"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6C37E5" w:rsidTr="002114E1">
        <w:trPr>
          <w:trHeight w:val="788"/>
        </w:trPr>
        <w:tc>
          <w:tcPr>
            <w:tcW w:w="3839" w:type="pct"/>
            <w:gridSpan w:val="6"/>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554" w:type="pct"/>
            <w:gridSpan w:val="2"/>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07" w:type="pct"/>
            <w:vAlign w:val="center"/>
          </w:tcPr>
          <w:p w:rsidR="006C37E5" w:rsidRDefault="00FF39E4">
            <w:pPr>
              <w:widowControl/>
              <w:jc w:val="center"/>
              <w:rPr>
                <w:rFonts w:ascii="宋体" w:hAnsi="宋体" w:cs="宋体"/>
                <w:color w:val="000000"/>
                <w:kern w:val="0"/>
                <w:sz w:val="20"/>
                <w:szCs w:val="20"/>
              </w:rPr>
            </w:pPr>
            <w:r>
              <w:rPr>
                <w:rFonts w:ascii="宋体" w:hAnsi="宋体" w:cs="宋体" w:hint="eastAsia"/>
                <w:color w:val="000000"/>
                <w:kern w:val="0"/>
                <w:sz w:val="20"/>
                <w:szCs w:val="20"/>
              </w:rPr>
              <w:t>95.972</w:t>
            </w:r>
          </w:p>
        </w:tc>
      </w:tr>
    </w:tbl>
    <w:p w:rsidR="006C37E5" w:rsidRDefault="006C37E5">
      <w:pPr>
        <w:spacing w:line="20" w:lineRule="exact"/>
        <w:ind w:leftChars="-10" w:left="-21" w:rightChars="20" w:right="42"/>
      </w:pPr>
    </w:p>
    <w:sectPr w:rsidR="006C37E5" w:rsidSect="006C37E5">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E42" w:rsidRDefault="00CE0E42" w:rsidP="006C37E5">
      <w:r>
        <w:separator/>
      </w:r>
    </w:p>
  </w:endnote>
  <w:endnote w:type="continuationSeparator" w:id="1">
    <w:p w:rsidR="00CE0E42" w:rsidRDefault="00CE0E42" w:rsidP="006C3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7E5" w:rsidRDefault="005E5E4E">
    <w:pPr>
      <w:pStyle w:val="a5"/>
      <w:jc w:val="right"/>
      <w:rPr>
        <w:rFonts w:ascii="宋体" w:hAnsi="宋体"/>
        <w:sz w:val="28"/>
        <w:szCs w:val="28"/>
      </w:rPr>
    </w:pPr>
    <w:r w:rsidRPr="005E5E4E">
      <w:rPr>
        <w:sz w:val="28"/>
      </w:rPr>
      <w:pict>
        <v:shapetype id="_x0000_t202" coordsize="21600,21600" o:spt="202" path="m,l,21600r21600,l21600,xe">
          <v:stroke joinstyle="miter"/>
          <v:path gradientshapeok="t" o:connecttype="rect"/>
        </v:shapetype>
        <v:shape id="_x0000_s1026" type="#_x0000_t202" style="position:absolute;left:0;text-align:left;margin-left:832pt;margin-top:0;width:2in;height:2in;z-index:251658240;mso-wrap-style:none;mso-position-horizontal:right;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filled="f" stroked="f" strokeweight=".5pt">
          <v:textbox style="mso-fit-shape-to-text:t" inset="0,0,0,0">
            <w:txbxContent>
              <w:p w:rsidR="006C37E5" w:rsidRDefault="005E5E4E">
                <w:pPr>
                  <w:pStyle w:val="a5"/>
                  <w:jc w:val="right"/>
                </w:pPr>
                <w:r>
                  <w:rPr>
                    <w:rFonts w:ascii="宋体" w:hAnsi="宋体"/>
                    <w:sz w:val="28"/>
                    <w:szCs w:val="28"/>
                  </w:rPr>
                  <w:fldChar w:fldCharType="begin"/>
                </w:r>
                <w:r w:rsidR="00FF39E4">
                  <w:rPr>
                    <w:rFonts w:ascii="宋体" w:hAnsi="宋体"/>
                    <w:sz w:val="28"/>
                    <w:szCs w:val="28"/>
                  </w:rPr>
                  <w:instrText>PAGE   \* MERGEFORMAT</w:instrText>
                </w:r>
                <w:r>
                  <w:rPr>
                    <w:rFonts w:ascii="宋体" w:hAnsi="宋体"/>
                    <w:sz w:val="28"/>
                    <w:szCs w:val="28"/>
                  </w:rPr>
                  <w:fldChar w:fldCharType="separate"/>
                </w:r>
                <w:r w:rsidR="002114E1" w:rsidRPr="002114E1">
                  <w:rPr>
                    <w:rFonts w:ascii="宋体" w:hAnsi="宋体"/>
                    <w:noProof/>
                    <w:sz w:val="28"/>
                    <w:szCs w:val="28"/>
                    <w:lang w:val="zh-CN"/>
                  </w:rPr>
                  <w:t>-</w:t>
                </w:r>
                <w:r w:rsidR="002114E1">
                  <w:rPr>
                    <w:rFonts w:ascii="宋体" w:hAnsi="宋体"/>
                    <w:noProof/>
                    <w:sz w:val="28"/>
                    <w:szCs w:val="28"/>
                  </w:rPr>
                  <w:t xml:space="preserve"> 11 -</w:t>
                </w:r>
                <w:r>
                  <w:rPr>
                    <w:rFonts w:ascii="宋体" w:hAnsi="宋体"/>
                    <w:sz w:val="28"/>
                    <w:szCs w:val="28"/>
                  </w:rPr>
                  <w:fldChar w:fldCharType="end"/>
                </w:r>
              </w:p>
            </w:txbxContent>
          </v:textbox>
          <w10:wrap anchorx="margin"/>
        </v:shape>
      </w:pict>
    </w:r>
  </w:p>
  <w:p w:rsidR="006C37E5" w:rsidRDefault="006C37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E42" w:rsidRDefault="00CE0E42" w:rsidP="006C37E5">
      <w:r>
        <w:separator/>
      </w:r>
    </w:p>
  </w:footnote>
  <w:footnote w:type="continuationSeparator" w:id="1">
    <w:p w:rsidR="00CE0E42" w:rsidRDefault="00CE0E42" w:rsidP="006C37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F77F09F4"/>
    <w:rsid w:val="8B7F3954"/>
    <w:rsid w:val="9AFF9CB0"/>
    <w:rsid w:val="9CFF1255"/>
    <w:rsid w:val="9DDFBD61"/>
    <w:rsid w:val="9EFFA35D"/>
    <w:rsid w:val="A7FD42F0"/>
    <w:rsid w:val="AEAF6C02"/>
    <w:rsid w:val="B39BF94C"/>
    <w:rsid w:val="BAAE0244"/>
    <w:rsid w:val="BBF78D99"/>
    <w:rsid w:val="BF7730EA"/>
    <w:rsid w:val="BF7D3D2D"/>
    <w:rsid w:val="BFEB990E"/>
    <w:rsid w:val="C36F37B1"/>
    <w:rsid w:val="CAED5F23"/>
    <w:rsid w:val="CCFF53A8"/>
    <w:rsid w:val="CEFD3F3D"/>
    <w:rsid w:val="CEFE6013"/>
    <w:rsid w:val="DAE24EB9"/>
    <w:rsid w:val="DECF3BDA"/>
    <w:rsid w:val="DEDD60E3"/>
    <w:rsid w:val="DF6F3196"/>
    <w:rsid w:val="E76DE85E"/>
    <w:rsid w:val="E9FFD328"/>
    <w:rsid w:val="EA3F77F2"/>
    <w:rsid w:val="EB52E583"/>
    <w:rsid w:val="EEFE5989"/>
    <w:rsid w:val="EF7F616A"/>
    <w:rsid w:val="EFCF3EAE"/>
    <w:rsid w:val="F3FE62EB"/>
    <w:rsid w:val="F5B764A2"/>
    <w:rsid w:val="F5DF9BCF"/>
    <w:rsid w:val="F5EE7C00"/>
    <w:rsid w:val="F75D1812"/>
    <w:rsid w:val="F77F09F4"/>
    <w:rsid w:val="F7FB4BB4"/>
    <w:rsid w:val="F9FF7DFE"/>
    <w:rsid w:val="FBF74B5D"/>
    <w:rsid w:val="FDF99DBD"/>
    <w:rsid w:val="FEEE25EA"/>
    <w:rsid w:val="FFD7BFFC"/>
    <w:rsid w:val="FFDD773F"/>
    <w:rsid w:val="0000669B"/>
    <w:rsid w:val="0003479B"/>
    <w:rsid w:val="00057C9C"/>
    <w:rsid w:val="000709D9"/>
    <w:rsid w:val="00075151"/>
    <w:rsid w:val="000A03FF"/>
    <w:rsid w:val="000B776D"/>
    <w:rsid w:val="000C276D"/>
    <w:rsid w:val="000E398A"/>
    <w:rsid w:val="000F0B54"/>
    <w:rsid w:val="00127286"/>
    <w:rsid w:val="00135233"/>
    <w:rsid w:val="00141B20"/>
    <w:rsid w:val="00167169"/>
    <w:rsid w:val="0016797A"/>
    <w:rsid w:val="00174767"/>
    <w:rsid w:val="001836A4"/>
    <w:rsid w:val="001850BE"/>
    <w:rsid w:val="001A40E9"/>
    <w:rsid w:val="001C39C4"/>
    <w:rsid w:val="001E5E8F"/>
    <w:rsid w:val="00205E3D"/>
    <w:rsid w:val="002114E1"/>
    <w:rsid w:val="00211A6A"/>
    <w:rsid w:val="002141DB"/>
    <w:rsid w:val="002150C4"/>
    <w:rsid w:val="0021576A"/>
    <w:rsid w:val="002165D6"/>
    <w:rsid w:val="00234D7F"/>
    <w:rsid w:val="00244B62"/>
    <w:rsid w:val="00260F72"/>
    <w:rsid w:val="00266FC6"/>
    <w:rsid w:val="002866F0"/>
    <w:rsid w:val="002A5CE2"/>
    <w:rsid w:val="002E3D5E"/>
    <w:rsid w:val="003023CC"/>
    <w:rsid w:val="003072B0"/>
    <w:rsid w:val="00316EF4"/>
    <w:rsid w:val="00326F91"/>
    <w:rsid w:val="003538CA"/>
    <w:rsid w:val="00385DEF"/>
    <w:rsid w:val="003948F6"/>
    <w:rsid w:val="003C4A60"/>
    <w:rsid w:val="003E7723"/>
    <w:rsid w:val="004023AE"/>
    <w:rsid w:val="00411186"/>
    <w:rsid w:val="00414AEB"/>
    <w:rsid w:val="004309DC"/>
    <w:rsid w:val="004411BC"/>
    <w:rsid w:val="00491DA8"/>
    <w:rsid w:val="00496C47"/>
    <w:rsid w:val="004A5A01"/>
    <w:rsid w:val="004E0602"/>
    <w:rsid w:val="004E46AC"/>
    <w:rsid w:val="0054062F"/>
    <w:rsid w:val="00565899"/>
    <w:rsid w:val="0056771B"/>
    <w:rsid w:val="005A64F4"/>
    <w:rsid w:val="005C442A"/>
    <w:rsid w:val="005E5E4E"/>
    <w:rsid w:val="0066553A"/>
    <w:rsid w:val="006667D8"/>
    <w:rsid w:val="00676C7C"/>
    <w:rsid w:val="00696B8D"/>
    <w:rsid w:val="006A0FC8"/>
    <w:rsid w:val="006A2CDA"/>
    <w:rsid w:val="006B0E3A"/>
    <w:rsid w:val="006B360D"/>
    <w:rsid w:val="006C37E5"/>
    <w:rsid w:val="006D1E04"/>
    <w:rsid w:val="006F25D5"/>
    <w:rsid w:val="006F4469"/>
    <w:rsid w:val="00705693"/>
    <w:rsid w:val="00717DD1"/>
    <w:rsid w:val="0072166E"/>
    <w:rsid w:val="007241D7"/>
    <w:rsid w:val="007271C4"/>
    <w:rsid w:val="00766916"/>
    <w:rsid w:val="007949F9"/>
    <w:rsid w:val="007952B6"/>
    <w:rsid w:val="008079CB"/>
    <w:rsid w:val="00856190"/>
    <w:rsid w:val="00891F2D"/>
    <w:rsid w:val="00894099"/>
    <w:rsid w:val="008B0E06"/>
    <w:rsid w:val="008D62F5"/>
    <w:rsid w:val="008F406F"/>
    <w:rsid w:val="00913E70"/>
    <w:rsid w:val="00944E11"/>
    <w:rsid w:val="009A0DF2"/>
    <w:rsid w:val="009D6D78"/>
    <w:rsid w:val="009E296F"/>
    <w:rsid w:val="009F68B1"/>
    <w:rsid w:val="00A1122E"/>
    <w:rsid w:val="00A12135"/>
    <w:rsid w:val="00A418D0"/>
    <w:rsid w:val="00A65061"/>
    <w:rsid w:val="00AB2046"/>
    <w:rsid w:val="00AD26FB"/>
    <w:rsid w:val="00AD7AAB"/>
    <w:rsid w:val="00B03410"/>
    <w:rsid w:val="00B20B7F"/>
    <w:rsid w:val="00B213DD"/>
    <w:rsid w:val="00B465A5"/>
    <w:rsid w:val="00B52A8D"/>
    <w:rsid w:val="00B62479"/>
    <w:rsid w:val="00B64396"/>
    <w:rsid w:val="00B657A1"/>
    <w:rsid w:val="00B82E64"/>
    <w:rsid w:val="00BB061C"/>
    <w:rsid w:val="00BD0F1F"/>
    <w:rsid w:val="00BE65AF"/>
    <w:rsid w:val="00BE7F40"/>
    <w:rsid w:val="00C15BAD"/>
    <w:rsid w:val="00C35AB1"/>
    <w:rsid w:val="00C51CED"/>
    <w:rsid w:val="00C65AD3"/>
    <w:rsid w:val="00C763E4"/>
    <w:rsid w:val="00C80DD5"/>
    <w:rsid w:val="00CA3920"/>
    <w:rsid w:val="00CA4069"/>
    <w:rsid w:val="00CA52A6"/>
    <w:rsid w:val="00CB1F4D"/>
    <w:rsid w:val="00CC77FF"/>
    <w:rsid w:val="00CE0E42"/>
    <w:rsid w:val="00CF00EE"/>
    <w:rsid w:val="00D34741"/>
    <w:rsid w:val="00DB3635"/>
    <w:rsid w:val="00DB65B0"/>
    <w:rsid w:val="00DC14F9"/>
    <w:rsid w:val="00DC2C41"/>
    <w:rsid w:val="00E073EA"/>
    <w:rsid w:val="00E253C8"/>
    <w:rsid w:val="00E3420C"/>
    <w:rsid w:val="00E75824"/>
    <w:rsid w:val="00E908F3"/>
    <w:rsid w:val="00EB0CED"/>
    <w:rsid w:val="00EB28E9"/>
    <w:rsid w:val="00ED0212"/>
    <w:rsid w:val="00ED0A05"/>
    <w:rsid w:val="00F15B1B"/>
    <w:rsid w:val="00F43791"/>
    <w:rsid w:val="00F971FF"/>
    <w:rsid w:val="00FA3D8F"/>
    <w:rsid w:val="00FB3DDD"/>
    <w:rsid w:val="00FC70F7"/>
    <w:rsid w:val="00FF39E4"/>
    <w:rsid w:val="0ECF9C51"/>
    <w:rsid w:val="1BDF407B"/>
    <w:rsid w:val="1F7FDC25"/>
    <w:rsid w:val="26F7B9AE"/>
    <w:rsid w:val="36FFC571"/>
    <w:rsid w:val="37173543"/>
    <w:rsid w:val="3CD332D6"/>
    <w:rsid w:val="3DE56102"/>
    <w:rsid w:val="3DEE2C70"/>
    <w:rsid w:val="3DF5C21D"/>
    <w:rsid w:val="3F9E2EB5"/>
    <w:rsid w:val="3FF76880"/>
    <w:rsid w:val="4B67D09E"/>
    <w:rsid w:val="4FFF101B"/>
    <w:rsid w:val="5BFB4D7E"/>
    <w:rsid w:val="5EE7CC06"/>
    <w:rsid w:val="5FB7943C"/>
    <w:rsid w:val="5FBF7210"/>
    <w:rsid w:val="5FFF7719"/>
    <w:rsid w:val="6EF73492"/>
    <w:rsid w:val="6F773E89"/>
    <w:rsid w:val="6FDB2CC5"/>
    <w:rsid w:val="6FDDC135"/>
    <w:rsid w:val="6FF5743A"/>
    <w:rsid w:val="71F61CBA"/>
    <w:rsid w:val="776F743A"/>
    <w:rsid w:val="777B9244"/>
    <w:rsid w:val="77FB15D1"/>
    <w:rsid w:val="79FB6404"/>
    <w:rsid w:val="7AB7FF50"/>
    <w:rsid w:val="7B3F7BDD"/>
    <w:rsid w:val="7BFEB0DB"/>
    <w:rsid w:val="7BFF4C3D"/>
    <w:rsid w:val="7C3E8F8B"/>
    <w:rsid w:val="7CFF99F2"/>
    <w:rsid w:val="7DFE179B"/>
    <w:rsid w:val="7F1BC912"/>
    <w:rsid w:val="7FFF3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37E5"/>
    <w:pPr>
      <w:widowControl w:val="0"/>
      <w:jc w:val="both"/>
    </w:pPr>
    <w:rPr>
      <w:kern w:val="2"/>
      <w:sz w:val="21"/>
      <w:szCs w:val="24"/>
    </w:rPr>
  </w:style>
  <w:style w:type="paragraph" w:styleId="2">
    <w:name w:val="heading 2"/>
    <w:basedOn w:val="a"/>
    <w:next w:val="a"/>
    <w:qFormat/>
    <w:rsid w:val="006C37E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C37E5"/>
    <w:pPr>
      <w:jc w:val="left"/>
    </w:pPr>
  </w:style>
  <w:style w:type="paragraph" w:styleId="a4">
    <w:name w:val="Balloon Text"/>
    <w:basedOn w:val="a"/>
    <w:link w:val="Char"/>
    <w:qFormat/>
    <w:rsid w:val="006C37E5"/>
    <w:rPr>
      <w:sz w:val="18"/>
      <w:szCs w:val="18"/>
    </w:rPr>
  </w:style>
  <w:style w:type="paragraph" w:styleId="a5">
    <w:name w:val="footer"/>
    <w:basedOn w:val="a"/>
    <w:uiPriority w:val="99"/>
    <w:qFormat/>
    <w:rsid w:val="006C37E5"/>
    <w:pPr>
      <w:tabs>
        <w:tab w:val="center" w:pos="4153"/>
        <w:tab w:val="right" w:pos="8306"/>
      </w:tabs>
      <w:snapToGrid w:val="0"/>
      <w:jc w:val="left"/>
    </w:pPr>
    <w:rPr>
      <w:sz w:val="18"/>
      <w:szCs w:val="20"/>
    </w:rPr>
  </w:style>
  <w:style w:type="paragraph" w:styleId="a6">
    <w:name w:val="header"/>
    <w:basedOn w:val="a"/>
    <w:qFormat/>
    <w:rsid w:val="006C37E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rsid w:val="006C37E5"/>
  </w:style>
  <w:style w:type="character" w:customStyle="1" w:styleId="Char">
    <w:name w:val="批注框文本 Char"/>
    <w:basedOn w:val="a0"/>
    <w:link w:val="a4"/>
    <w:qFormat/>
    <w:rsid w:val="006C37E5"/>
    <w:rPr>
      <w:kern w:val="2"/>
      <w:sz w:val="18"/>
      <w:szCs w:val="18"/>
    </w:rPr>
  </w:style>
  <w:style w:type="paragraph" w:customStyle="1" w:styleId="1">
    <w:name w:val="列出段落1"/>
    <w:basedOn w:val="a"/>
    <w:uiPriority w:val="34"/>
    <w:qFormat/>
    <w:rsid w:val="006C37E5"/>
    <w:pPr>
      <w:ind w:firstLineChars="200" w:firstLine="420"/>
    </w:pPr>
    <w:rPr>
      <w:rFonts w:ascii="Calibri" w:hAnsi="Calibri" w:cs="黑体"/>
      <w:szCs w:val="22"/>
    </w:rPr>
  </w:style>
  <w:style w:type="paragraph" w:customStyle="1" w:styleId="a8">
    <w:name w:val="实施方案正文"/>
    <w:qFormat/>
    <w:rsid w:val="006C37E5"/>
    <w:pPr>
      <w:widowControl w:val="0"/>
      <w:ind w:firstLineChars="202" w:firstLine="566"/>
      <w:jc w:val="both"/>
    </w:pPr>
    <w:rPr>
      <w:kern w:val="2"/>
      <w:sz w:val="21"/>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C79D3327-C38C-47A4-97FC-CA13FC1E16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766</Words>
  <Characters>4368</Characters>
  <Application>Microsoft Office Word</Application>
  <DocSecurity>0</DocSecurity>
  <Lines>36</Lines>
  <Paragraphs>10</Paragraphs>
  <ScaleCrop>false</ScaleCrop>
  <Company>Hewlett-Packard Company</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DXR</cp:lastModifiedBy>
  <cp:revision>22</cp:revision>
  <cp:lastPrinted>2025-08-27T02:23:00Z</cp:lastPrinted>
  <dcterms:created xsi:type="dcterms:W3CDTF">2025-08-22T22:47:00Z</dcterms:created>
  <dcterms:modified xsi:type="dcterms:W3CDTF">2025-08-29T00:24:00Z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